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580" w:hanging="3872"/>
        <w:spacing w:after="0" w:line="344" w:lineRule="auto"/>
        <w:tabs>
          <w:tab w:leader="none" w:pos="50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3060" w:right="1580" w:hanging="3052"/>
        <w:spacing w:after="0" w:line="328" w:lineRule="auto"/>
        <w:tabs>
          <w:tab w:leader="none" w:pos="49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Aerpio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5"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020" w:type="dxa"/>
            <w:vAlign w:val="bottom"/>
          </w:tcPr>
          <w:p>
            <w:pPr>
              <w:jc w:val="center"/>
              <w:ind w:right="18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180" w:type="dxa"/>
            <w:vAlign w:val="bottom"/>
          </w:tcPr>
          <w:p>
            <w:pPr>
              <w:jc w:val="center"/>
              <w:ind w:left="188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020" w:type="dxa"/>
            <w:vAlign w:val="bottom"/>
          </w:tcPr>
          <w:p>
            <w:pPr>
              <w:jc w:val="center"/>
              <w:ind w:right="1864"/>
              <w:spacing w:after="0"/>
              <w:rPr>
                <w:sz w:val="20"/>
                <w:szCs w:val="20"/>
                <w:color w:val="auto"/>
              </w:rPr>
            </w:pPr>
            <w:r>
              <w:rPr>
                <w:rFonts w:ascii="Arial" w:cs="Arial" w:eastAsia="Arial" w:hAnsi="Arial"/>
                <w:sz w:val="18"/>
                <w:szCs w:val="18"/>
                <w:b w:val="1"/>
                <w:bCs w:val="1"/>
                <w:color w:val="auto"/>
                <w:w w:val="92"/>
              </w:rPr>
              <w:t>9987 Carver Road</w:t>
            </w:r>
          </w:p>
        </w:tc>
        <w:tc>
          <w:tcPr>
            <w:tcW w:w="3180" w:type="dxa"/>
            <w:vAlign w:val="bottom"/>
          </w:tcPr>
          <w:p>
            <w:pPr>
              <w:spacing w:after="0"/>
              <w:rPr>
                <w:sz w:val="18"/>
                <w:szCs w:val="18"/>
                <w:color w:val="auto"/>
              </w:rPr>
            </w:pPr>
          </w:p>
        </w:tc>
      </w:tr>
      <w:tr>
        <w:trPr>
          <w:trHeight w:val="216"/>
        </w:trPr>
        <w:tc>
          <w:tcPr>
            <w:tcW w:w="4020" w:type="dxa"/>
            <w:vAlign w:val="bottom"/>
          </w:tcPr>
          <w:p>
            <w:pPr>
              <w:jc w:val="center"/>
              <w:ind w:right="1844"/>
              <w:spacing w:after="0"/>
              <w:rPr>
                <w:sz w:val="20"/>
                <w:szCs w:val="20"/>
                <w:color w:val="auto"/>
              </w:rPr>
            </w:pPr>
            <w:r>
              <w:rPr>
                <w:rFonts w:ascii="Arial" w:cs="Arial" w:eastAsia="Arial" w:hAnsi="Arial"/>
                <w:sz w:val="18"/>
                <w:szCs w:val="18"/>
                <w:b w:val="1"/>
                <w:bCs w:val="1"/>
                <w:color w:val="auto"/>
                <w:w w:val="95"/>
              </w:rPr>
              <w:t>Cincinnati, OH</w:t>
            </w:r>
          </w:p>
        </w:tc>
        <w:tc>
          <w:tcPr>
            <w:tcW w:w="318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020" w:type="dxa"/>
            <w:vAlign w:val="bottom"/>
          </w:tcPr>
          <w:p>
            <w:pPr>
              <w:jc w:val="center"/>
              <w:ind w:right="18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80" w:type="dxa"/>
            <w:vAlign w:val="bottom"/>
          </w:tcPr>
          <w:p>
            <w:pPr>
              <w:jc w:val="center"/>
              <w:ind w:left="1886"/>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ARPO</w:t>
            </w: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71"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7"/>
        </w:trPr>
        <w:tc>
          <w:tcPr>
            <w:tcW w:w="17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32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61" w:lineRule="exact"/>
        <w:rPr>
          <w:sz w:val="24"/>
          <w:szCs w:val="24"/>
          <w:color w:val="auto"/>
        </w:rPr>
      </w:pPr>
    </w:p>
    <w:p>
      <w:pPr>
        <w:jc w:val="both"/>
        <w:ind w:right="6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10, 2020, the registrant had 42,068,004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74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229"/>
        </w:trPr>
        <w:tc>
          <w:tcPr>
            <w:tcW w:w="920" w:type="dxa"/>
            <w:vAlign w:val="bottom"/>
          </w:tcPr>
          <w:p>
            <w:pPr>
              <w:spacing w:after="0"/>
              <w:rPr>
                <w:sz w:val="19"/>
                <w:szCs w:val="19"/>
                <w:color w:val="auto"/>
              </w:rPr>
            </w:pPr>
          </w:p>
        </w:tc>
        <w:tc>
          <w:tcPr>
            <w:tcW w:w="974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 June 30, 2020 (Unaudited) and December 31, 2019</w:t>
              </w:r>
            </w:hyperlink>
          </w:p>
        </w:tc>
        <w:tc>
          <w:tcPr>
            <w:tcW w:w="3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2</w:t>
              </w:r>
            </w:hyperlink>
          </w:p>
        </w:tc>
      </w:tr>
      <w:tr>
        <w:trPr>
          <w:trHeight w:val="190"/>
        </w:trPr>
        <w:tc>
          <w:tcPr>
            <w:tcW w:w="920" w:type="dxa"/>
            <w:vAlign w:val="bottom"/>
          </w:tcPr>
          <w:p>
            <w:pPr>
              <w:spacing w:after="0"/>
              <w:rPr>
                <w:sz w:val="16"/>
                <w:szCs w:val="16"/>
                <w:color w:val="auto"/>
              </w:rPr>
            </w:pPr>
          </w:p>
        </w:tc>
        <w:tc>
          <w:tcPr>
            <w:tcW w:w="9560" w:type="dxa"/>
            <w:vAlign w:val="bottom"/>
            <w:tcBorders>
              <w:bottom w:val="single" w:sz="8" w:color="0000EE"/>
            </w:tcBorders>
            <w:gridSpan w:val="2"/>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(Loss) – Three and Six Months Ended June 30, 2020</w:t>
              </w:r>
            </w:hyperlink>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6"/>
        </w:trPr>
        <w:tc>
          <w:tcPr>
            <w:tcW w:w="920" w:type="dxa"/>
            <w:vAlign w:val="bottom"/>
          </w:tcPr>
          <w:p>
            <w:pPr>
              <w:spacing w:after="0"/>
              <w:rPr>
                <w:sz w:val="17"/>
                <w:szCs w:val="17"/>
                <w:color w:val="auto"/>
              </w:rPr>
            </w:pPr>
          </w:p>
        </w:tc>
        <w:tc>
          <w:tcPr>
            <w:tcW w:w="15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and 2019 (Unaudited)</w:t>
              </w:r>
            </w:hyperlink>
          </w:p>
        </w:tc>
        <w:tc>
          <w:tcPr>
            <w:tcW w:w="8160" w:type="dxa"/>
            <w:vAlign w:val="bottom"/>
            <w:gridSpan w:val="2"/>
          </w:tcPr>
          <w:p>
            <w:pPr>
              <w:spacing w:after="0"/>
              <w:rPr>
                <w:sz w:val="17"/>
                <w:szCs w:val="17"/>
                <w:color w:val="auto"/>
              </w:rPr>
            </w:pPr>
          </w:p>
        </w:tc>
        <w:tc>
          <w:tcPr>
            <w:tcW w:w="380" w:type="dxa"/>
            <w:vAlign w:val="bottom"/>
          </w:tcPr>
          <w:p>
            <w:pPr>
              <w:jc w:val="right"/>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249"/>
        </w:trPr>
        <w:tc>
          <w:tcPr>
            <w:tcW w:w="920" w:type="dxa"/>
            <w:vAlign w:val="bottom"/>
          </w:tcPr>
          <w:p>
            <w:pPr>
              <w:spacing w:after="0"/>
              <w:rPr>
                <w:sz w:val="21"/>
                <w:szCs w:val="21"/>
                <w:color w:val="auto"/>
              </w:rPr>
            </w:pPr>
          </w:p>
        </w:tc>
        <w:tc>
          <w:tcPr>
            <w:tcW w:w="9740" w:type="dxa"/>
            <w:vAlign w:val="bottom"/>
            <w:gridSpan w:val="3"/>
          </w:tcPr>
          <w:p>
            <w:pPr>
              <w:spacing w:after="0"/>
              <w:rPr>
                <w:rFonts w:ascii="Arial" w:cs="Arial" w:eastAsia="Arial" w:hAnsi="Arial"/>
                <w:sz w:val="18"/>
                <w:szCs w:val="18"/>
                <w:u w:val="single" w:color="auto"/>
                <w:color w:val="0000EE"/>
                <w:w w:val="93"/>
              </w:rPr>
            </w:pPr>
            <w:hyperlink w:anchor="page5">
              <w:r>
                <w:rPr>
                  <w:rFonts w:ascii="Arial" w:cs="Arial" w:eastAsia="Arial" w:hAnsi="Arial"/>
                  <w:sz w:val="18"/>
                  <w:szCs w:val="18"/>
                  <w:u w:val="single" w:color="auto"/>
                  <w:color w:val="0000EE"/>
                  <w:w w:val="93"/>
                </w:rPr>
                <w:t>Condensed Consolidated Statements of Stockholders’ Equity – Three and Six Months Ended June 30, 2020 and 2019 (Unaudited)</w:t>
              </w:r>
            </w:hyperlink>
          </w:p>
        </w:tc>
        <w:tc>
          <w:tcPr>
            <w:tcW w:w="3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29"/>
        </w:trPr>
        <w:tc>
          <w:tcPr>
            <w:tcW w:w="920" w:type="dxa"/>
            <w:vAlign w:val="bottom"/>
          </w:tcPr>
          <w:p>
            <w:pPr>
              <w:spacing w:after="0"/>
              <w:rPr>
                <w:sz w:val="19"/>
                <w:szCs w:val="19"/>
                <w:color w:val="auto"/>
              </w:rPr>
            </w:pPr>
          </w:p>
        </w:tc>
        <w:tc>
          <w:tcPr>
            <w:tcW w:w="974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 Six Months Ended June 30, 2020 and 2019 (Unaudited)</w:t>
              </w:r>
            </w:hyperlink>
          </w:p>
        </w:tc>
        <w:tc>
          <w:tcPr>
            <w:tcW w:w="38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5</w:t>
              </w:r>
            </w:hyperlink>
          </w:p>
        </w:tc>
      </w:tr>
      <w:tr>
        <w:trPr>
          <w:trHeight w:val="230"/>
        </w:trPr>
        <w:tc>
          <w:tcPr>
            <w:tcW w:w="920" w:type="dxa"/>
            <w:vAlign w:val="bottom"/>
          </w:tcPr>
          <w:p>
            <w:pPr>
              <w:spacing w:after="0"/>
              <w:rPr>
                <w:sz w:val="19"/>
                <w:szCs w:val="19"/>
                <w:color w:val="auto"/>
              </w:rPr>
            </w:pPr>
          </w:p>
        </w:tc>
        <w:tc>
          <w:tcPr>
            <w:tcW w:w="974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3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19</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3"/>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226"/>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3"/>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26</w:t>
              </w:r>
            </w:hyperlink>
          </w:p>
        </w:tc>
      </w:tr>
      <w:tr>
        <w:trPr>
          <w:trHeight w:val="233"/>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40" w:type="dxa"/>
            <w:vAlign w:val="bottom"/>
            <w:gridSpan w:val="3"/>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OTHER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3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27</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60</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60</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60</w:t>
              </w:r>
            </w:hyperlink>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gridSpan w:val="3"/>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60</w:t>
              </w:r>
            </w:hyperlink>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gridSpan w:val="3"/>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w:t>
              </w:r>
            </w:hyperlink>
          </w:p>
        </w:tc>
        <w:tc>
          <w:tcPr>
            <w:tcW w:w="38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61</w:t>
              </w:r>
            </w:hyperlink>
          </w:p>
        </w:tc>
      </w:tr>
      <w:tr>
        <w:trPr>
          <w:trHeight w:val="230"/>
        </w:trPr>
        <w:tc>
          <w:tcPr>
            <w:tcW w:w="92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Signatures</w:t>
              </w:r>
            </w:hyperlink>
          </w:p>
        </w:tc>
        <w:tc>
          <w:tcPr>
            <w:tcW w:w="158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62</w:t>
              </w:r>
            </w:hyperlink>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53"/>
              <w:spacing w:after="0" w:line="155" w:lineRule="exact"/>
              <w:rPr>
                <w:sz w:val="20"/>
                <w:szCs w:val="20"/>
                <w:color w:val="auto"/>
              </w:rPr>
            </w:pPr>
            <w:r>
              <w:rPr>
                <w:rFonts w:ascii="Arial" w:cs="Arial" w:eastAsia="Arial" w:hAnsi="Arial"/>
                <w:sz w:val="14"/>
                <w:szCs w:val="14"/>
                <w:b w:val="1"/>
                <w:bCs w:val="1"/>
                <w:i w:val="1"/>
                <w:iCs w:val="1"/>
                <w:color w:val="auto"/>
                <w:w w:val="89"/>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44,864,284</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38,524,536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Prepaid research and development contracts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307,400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311,154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263,081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45,434,765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39,570,475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146,216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114,714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Deposits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45,715,695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2,994,228</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111,053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3,105,281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3,115,236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3,401,443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300,000,000 shares authorized and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40,588,004 shares issued and outstanding at June 30, 2020 and</w:t>
            </w:r>
          </w:p>
        </w:tc>
        <w:tc>
          <w:tcPr>
            <w:tcW w:w="22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December 31, 2019.</w:t>
            </w: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179,474,553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178,766,806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(136,878,153)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(142,235,522)</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42,600,459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36,535,343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45,715,695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39,936,786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3"/>
          </w:tcPr>
          <w:p>
            <w:pPr>
              <w:jc w:val="right"/>
              <w:ind w:right="30"/>
              <w:spacing w:after="0" w:line="155" w:lineRule="exact"/>
              <w:rPr>
                <w:sz w:val="20"/>
                <w:szCs w:val="20"/>
                <w:color w:val="auto"/>
              </w:rPr>
            </w:pPr>
            <w:r>
              <w:rPr>
                <w:rFonts w:ascii="Arial" w:cs="Arial" w:eastAsia="Arial" w:hAnsi="Arial"/>
                <w:sz w:val="14"/>
                <w:szCs w:val="14"/>
                <w:i w:val="1"/>
                <w:iCs w:val="1"/>
                <w:color w:val="auto"/>
              </w:rPr>
              <w:t>(unaudited)</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3"/>
          </w:tcPr>
          <w:p>
            <w:pPr>
              <w:jc w:val="right"/>
              <w:ind w:right="47"/>
              <w:spacing w:after="0" w:line="155" w:lineRule="exact"/>
              <w:rPr>
                <w:sz w:val="20"/>
                <w:szCs w:val="20"/>
                <w:color w:val="auto"/>
              </w:rPr>
            </w:pPr>
            <w:r>
              <w:rPr>
                <w:rFonts w:ascii="Arial" w:cs="Arial" w:eastAsia="Arial" w:hAnsi="Arial"/>
                <w:sz w:val="14"/>
                <w:szCs w:val="14"/>
                <w:i w:val="1"/>
                <w:iCs w:val="1"/>
                <w:color w:val="auto"/>
              </w:rPr>
              <w:t>(unaudited)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3,548,572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2,264,255</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5,377,614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7,850,506</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2,195,515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2,799,570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4,481,406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6,054,612</w:t>
            </w:r>
          </w:p>
        </w:tc>
        <w:tc>
          <w:tcPr>
            <w:tcW w:w="100" w:type="dxa"/>
            <w:vAlign w:val="bottom"/>
          </w:tcPr>
          <w:p>
            <w:pPr>
              <w:spacing w:after="0"/>
              <w:rPr>
                <w:sz w:val="19"/>
                <w:szCs w:val="19"/>
                <w:color w:val="auto"/>
              </w:rPr>
            </w:pPr>
          </w:p>
        </w:tc>
      </w:tr>
      <w:tr>
        <w:trPr>
          <w:trHeight w:val="229"/>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expense</w:t>
            </w: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5,744,087</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5,978,919</w:t>
            </w:r>
          </w:p>
        </w:tc>
        <w:tc>
          <w:tcPr>
            <w:tcW w:w="3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9,859,020</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14,820,212</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9,255,913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(5,978,919)</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5,140,980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(14,820,212)</w:t>
            </w:r>
          </w:p>
        </w:tc>
        <w:tc>
          <w:tcPr>
            <w:tcW w:w="100" w:type="dxa"/>
            <w:vAlign w:val="bottom"/>
            <w:shd w:val="clear" w:color="auto" w:fill="CFF0FC"/>
          </w:tcPr>
          <w:p>
            <w:pPr>
              <w:spacing w:after="0"/>
              <w:rPr>
                <w:sz w:val="19"/>
                <w:szCs w:val="19"/>
                <w:color w:val="auto"/>
              </w:rPr>
            </w:pPr>
          </w:p>
        </w:tc>
      </w:tr>
      <w:tr>
        <w:trPr>
          <w:trHeight w:val="229"/>
        </w:trPr>
        <w:tc>
          <w:tcPr>
            <w:tcW w:w="5120" w:type="dxa"/>
            <w:vAlign w:val="bottom"/>
          </w:tcPr>
          <w:p>
            <w:pPr>
              <w:ind w:left="260"/>
              <w:spacing w:after="0"/>
              <w:rPr>
                <w:sz w:val="20"/>
                <w:szCs w:val="20"/>
                <w:color w:val="auto"/>
              </w:rPr>
            </w:pPr>
            <w:r>
              <w:rPr>
                <w:rFonts w:ascii="Arial" w:cs="Arial" w:eastAsia="Arial" w:hAnsi="Arial"/>
                <w:sz w:val="18"/>
                <w:szCs w:val="18"/>
                <w:color w:val="auto"/>
              </w:rPr>
              <w:t>Grant income</w:t>
            </w: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20,272</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20,119</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290,379</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136,489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623,499</w:t>
            </w:r>
          </w:p>
        </w:tc>
        <w:tc>
          <w:tcPr>
            <w:tcW w:w="100" w:type="dxa"/>
            <w:vAlign w:val="bottom"/>
            <w:shd w:val="clear" w:color="auto" w:fill="CFF0FC"/>
          </w:tcPr>
          <w:p>
            <w:pPr>
              <w:spacing w:after="0"/>
              <w:rPr>
                <w:sz w:val="19"/>
                <w:szCs w:val="19"/>
                <w:color w:val="auto"/>
              </w:rPr>
            </w:pPr>
          </w:p>
        </w:tc>
      </w:tr>
      <w:tr>
        <w:trPr>
          <w:trHeight w:val="223"/>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295,303</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216,389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643,771</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income (loss)</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9,276,032</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(5,683,616)</w:t>
            </w:r>
          </w:p>
        </w:tc>
        <w:tc>
          <w:tcPr>
            <w:tcW w:w="3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5,357,369</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(14,176,441)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income (loss) per share</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8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5"/>
        </w:trPr>
        <w:tc>
          <w:tcPr>
            <w:tcW w:w="5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 average number of common shares used</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 computing net and comprehensive income (loss)</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 share</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70"/>
        </w:trPr>
        <w:tc>
          <w:tcPr>
            <w:tcW w:w="5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40,588,004</w:t>
            </w:r>
          </w:p>
        </w:tc>
        <w:tc>
          <w:tcPr>
            <w:tcW w:w="24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32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40,588,004</w:t>
            </w:r>
          </w:p>
        </w:tc>
        <w:tc>
          <w:tcPr>
            <w:tcW w:w="2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tcPr>
          <w:p>
            <w:pPr>
              <w:spacing w:after="0"/>
              <w:rPr>
                <w:sz w:val="23"/>
                <w:szCs w:val="23"/>
                <w:color w:val="auto"/>
              </w:rPr>
            </w:pPr>
          </w:p>
        </w:tc>
      </w:tr>
      <w:tr>
        <w:trPr>
          <w:trHeight w:val="210"/>
        </w:trPr>
        <w:tc>
          <w:tcPr>
            <w:tcW w:w="51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40,905,288</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40,747,960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8"/>
          </w:tcPr>
          <w:p>
            <w:pPr>
              <w:jc w:val="center"/>
              <w:ind w:right="21"/>
              <w:spacing w:after="0"/>
              <w:rPr>
                <w:sz w:val="20"/>
                <w:szCs w:val="20"/>
                <w:color w:val="auto"/>
              </w:rPr>
            </w:pPr>
            <w:r>
              <w:rPr>
                <w:rFonts w:ascii="Arial" w:cs="Arial" w:eastAsia="Arial" w:hAnsi="Arial"/>
                <w:sz w:val="14"/>
                <w:szCs w:val="14"/>
                <w:b w:val="1"/>
                <w:bCs w:val="1"/>
                <w:color w:val="auto"/>
                <w:w w:val="94"/>
              </w:rPr>
              <w:t>For the Three and Six Months Ended June 30, 2020 (unaudited)</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5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13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2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300" w:type="dxa"/>
            <w:vAlign w:val="bottom"/>
            <w:gridSpan w:val="2"/>
          </w:tcPr>
          <w:p>
            <w:pPr>
              <w:jc w:val="center"/>
              <w:ind w:right="341"/>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178,766,806</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(142,235,522)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36,535,343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Issuance of warrants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62,347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327,467</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(3,918,663)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(3,918,663)</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179,156,620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(146,154,185</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33,006,494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260"/>
              <w:spacing w:after="0"/>
              <w:rPr>
                <w:sz w:val="20"/>
                <w:szCs w:val="20"/>
                <w:color w:val="auto"/>
              </w:rPr>
            </w:pPr>
            <w:r>
              <w:rPr>
                <w:rFonts w:ascii="Arial" w:cs="Arial" w:eastAsia="Arial" w:hAnsi="Arial"/>
                <w:sz w:val="18"/>
                <w:szCs w:val="18"/>
                <w:color w:val="auto"/>
              </w:rPr>
              <w:t>Issuance of warrants</w:t>
            </w:r>
          </w:p>
        </w:tc>
        <w:tc>
          <w:tcPr>
            <w:tcW w:w="1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308,341</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60"/>
              <w:spacing w:after="0"/>
              <w:rPr>
                <w:sz w:val="20"/>
                <w:szCs w:val="20"/>
                <w:color w:val="auto"/>
              </w:rPr>
            </w:pPr>
            <w:r>
              <w:rPr>
                <w:rFonts w:ascii="Arial" w:cs="Arial" w:eastAsia="Arial" w:hAnsi="Arial"/>
                <w:sz w:val="18"/>
                <w:szCs w:val="18"/>
                <w:color w:val="auto"/>
              </w:rPr>
              <w:t>Net and comprehensive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80"/>
              <w:spacing w:after="0"/>
              <w:rPr>
                <w:sz w:val="20"/>
                <w:szCs w:val="20"/>
                <w:color w:val="auto"/>
              </w:rPr>
            </w:pPr>
            <w:r>
              <w:rPr>
                <w:rFonts w:ascii="Arial" w:cs="Arial" w:eastAsia="Arial" w:hAnsi="Arial"/>
                <w:sz w:val="18"/>
                <w:szCs w:val="18"/>
                <w:color w:val="auto"/>
              </w:rPr>
              <w:t>income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9,276,032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9,276,032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2020</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179,474,553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(136,878,153</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42,600,459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8"/>
          </w:tcPr>
          <w:p>
            <w:pPr>
              <w:jc w:val="center"/>
              <w:ind w:right="21"/>
              <w:spacing w:after="0"/>
              <w:rPr>
                <w:sz w:val="20"/>
                <w:szCs w:val="20"/>
                <w:color w:val="auto"/>
              </w:rPr>
            </w:pPr>
            <w:r>
              <w:rPr>
                <w:rFonts w:ascii="Arial" w:cs="Arial" w:eastAsia="Arial" w:hAnsi="Arial"/>
                <w:sz w:val="14"/>
                <w:szCs w:val="14"/>
                <w:b w:val="1"/>
                <w:bCs w:val="1"/>
                <w:color w:val="auto"/>
                <w:w w:val="94"/>
              </w:rPr>
              <w:t>For the Three and Six Months Ended June 30, 2019 (unaudited)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Stockholders' Equity</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80" w:type="dxa"/>
            <w:vAlign w:val="bottom"/>
          </w:tcPr>
          <w:p>
            <w:pPr>
              <w:spacing w:after="0"/>
              <w:rPr>
                <w:sz w:val="11"/>
                <w:szCs w:val="11"/>
                <w:color w:val="auto"/>
              </w:rPr>
            </w:pPr>
          </w:p>
        </w:tc>
        <w:tc>
          <w:tcPr>
            <w:tcW w:w="250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1"/>
                <w:szCs w:val="11"/>
                <w:color w:val="auto"/>
              </w:rPr>
            </w:pPr>
          </w:p>
        </w:tc>
        <w:tc>
          <w:tcPr>
            <w:tcW w:w="138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12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Par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300" w:type="dxa"/>
            <w:vAlign w:val="bottom"/>
            <w:gridSpan w:val="2"/>
          </w:tcPr>
          <w:p>
            <w:pPr>
              <w:jc w:val="center"/>
              <w:ind w:right="341"/>
              <w:spacing w:after="0" w:line="155"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177,621,807</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(118,959,291)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58,666,575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60"/>
              <w:spacing w:after="0"/>
              <w:rPr>
                <w:sz w:val="20"/>
                <w:szCs w:val="20"/>
                <w:color w:val="auto"/>
              </w:rPr>
            </w:pPr>
            <w:r>
              <w:rPr>
                <w:rFonts w:ascii="Arial" w:cs="Arial" w:eastAsia="Arial" w:hAnsi="Arial"/>
                <w:sz w:val="18"/>
                <w:szCs w:val="18"/>
                <w:color w:val="auto"/>
              </w:rPr>
              <w:t>Cumulative effect of change in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80"/>
              <w:spacing w:after="0"/>
              <w:rPr>
                <w:sz w:val="20"/>
                <w:szCs w:val="20"/>
                <w:color w:val="auto"/>
              </w:rPr>
            </w:pPr>
            <w:r>
              <w:rPr>
                <w:rFonts w:ascii="Arial" w:cs="Arial" w:eastAsia="Arial" w:hAnsi="Arial"/>
                <w:sz w:val="18"/>
                <w:szCs w:val="18"/>
                <w:color w:val="auto"/>
              </w:rPr>
              <w:t>accounting principle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(5,717)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expense</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621,685</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621,685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Net and comprehensive loss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Arial" w:cs="Arial" w:eastAsia="Arial" w:hAnsi="Arial"/>
                <w:sz w:val="18"/>
                <w:szCs w:val="18"/>
                <w:color w:val="auto"/>
              </w:rPr>
              <w:t>(8,492,825)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(8,492,825)</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2019</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178,249,209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(127,457,833)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50,795,435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380"/>
              <w:spacing w:after="0"/>
              <w:rPr>
                <w:sz w:val="20"/>
                <w:szCs w:val="20"/>
                <w:color w:val="auto"/>
              </w:rPr>
            </w:pPr>
            <w:r>
              <w:rPr>
                <w:rFonts w:ascii="Arial" w:cs="Arial" w:eastAsia="Arial" w:hAnsi="Arial"/>
                <w:sz w:val="18"/>
                <w:szCs w:val="18"/>
                <w:color w:val="auto"/>
              </w:rPr>
              <w:t>expense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604,661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loss</w:t>
            </w: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(5,683,616)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(5,683,616)</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40,588,004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178,853,870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(133,141,449</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45,716,480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20" w:type="dxa"/>
            <w:vAlign w:val="bottom"/>
            <w:gridSpan w:val="3"/>
          </w:tcPr>
          <w:p>
            <w:pPr>
              <w:jc w:val="right"/>
              <w:ind w:right="387"/>
              <w:spacing w:after="0"/>
              <w:rPr>
                <w:sz w:val="20"/>
                <w:szCs w:val="20"/>
                <w:color w:val="auto"/>
              </w:rPr>
            </w:pPr>
            <w:r>
              <w:rPr>
                <w:rFonts w:ascii="Arial" w:cs="Arial" w:eastAsia="Arial" w:hAnsi="Arial"/>
                <w:sz w:val="18"/>
                <w:szCs w:val="18"/>
                <w:i w:val="1"/>
                <w:iCs w:val="1"/>
                <w:color w:val="auto"/>
              </w:rPr>
              <w:t>(unaudited)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and comprehensive income (loss)</w:t>
            </w:r>
          </w:p>
        </w:tc>
        <w:tc>
          <w:tcPr>
            <w:tcW w:w="162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5,357,369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(14,176,441)</w:t>
            </w:r>
          </w:p>
        </w:tc>
        <w:tc>
          <w:tcPr>
            <w:tcW w:w="0" w:type="dxa"/>
            <w:vAlign w:val="bottom"/>
          </w:tcPr>
          <w:p>
            <w:pPr>
              <w:spacing w:after="0"/>
              <w:rPr>
                <w:sz w:val="1"/>
                <w:szCs w:val="1"/>
                <w:color w:val="auto"/>
              </w:rPr>
            </w:pPr>
          </w:p>
        </w:tc>
      </w:tr>
      <w:tr>
        <w:trPr>
          <w:trHeight w:val="215"/>
        </w:trPr>
        <w:tc>
          <w:tcPr>
            <w:tcW w:w="5980" w:type="dxa"/>
            <w:vAlign w:val="bottom"/>
          </w:tcPr>
          <w:p>
            <w:pPr>
              <w:ind w:left="260"/>
              <w:spacing w:after="0"/>
              <w:rPr>
                <w:sz w:val="20"/>
                <w:szCs w:val="20"/>
                <w:color w:val="auto"/>
              </w:rPr>
            </w:pPr>
            <w:r>
              <w:rPr>
                <w:rFonts w:ascii="Arial" w:cs="Arial" w:eastAsia="Arial" w:hAnsi="Arial"/>
                <w:sz w:val="18"/>
                <w:szCs w:val="18"/>
                <w:color w:val="auto"/>
              </w:rPr>
              <w:t>Adjustments to reconcile net and comprehensive income (loss)</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80"/>
              <w:spacing w:after="0"/>
              <w:rPr>
                <w:sz w:val="20"/>
                <w:szCs w:val="20"/>
                <w:color w:val="auto"/>
              </w:rPr>
            </w:pPr>
            <w:r>
              <w:rPr>
                <w:rFonts w:ascii="Arial" w:cs="Arial" w:eastAsia="Arial" w:hAnsi="Arial"/>
                <w:sz w:val="18"/>
                <w:szCs w:val="18"/>
                <w:color w:val="auto"/>
              </w:rPr>
              <w:t>to net cash provided by (used in) operating activities:</w:t>
            </w: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30,169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635,808</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1,226,346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Consulting expense related to warrants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71,939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research and development contracts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3,754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491,704</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other current liabilities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(238,797)</w:t>
            </w:r>
          </w:p>
        </w:tc>
        <w:tc>
          <w:tcPr>
            <w:tcW w:w="7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(2,045,456)</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6,351,946</w:t>
            </w: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(14,224,328)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500"/>
              <w:spacing w:after="0"/>
              <w:rPr>
                <w:sz w:val="20"/>
                <w:szCs w:val="20"/>
                <w:color w:val="auto"/>
              </w:rPr>
            </w:pPr>
            <w:r>
              <w:rPr>
                <w:rFonts w:ascii="Arial" w:cs="Arial" w:eastAsia="Arial" w:hAnsi="Arial"/>
                <w:sz w:val="18"/>
                <w:szCs w:val="18"/>
                <w:color w:val="auto"/>
              </w:rPr>
              <w:t>Purchase of furniture and equipment</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(12,198)</w:t>
            </w:r>
          </w:p>
        </w:tc>
        <w:tc>
          <w:tcPr>
            <w:tcW w:w="7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(232,672)</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(12,198)</w:t>
            </w:r>
          </w:p>
        </w:tc>
        <w:tc>
          <w:tcPr>
            <w:tcW w:w="3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(232,672)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6,339,748</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(14,457,000)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1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38,524,536</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62,614,010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Cash and cash equivalents, six months ended</w:t>
            </w:r>
          </w:p>
        </w:tc>
        <w:tc>
          <w:tcPr>
            <w:tcW w:w="12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44,864,284</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48,157,010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Aerpio Pharmaceuticals, Inc. (the “Company”) is a biopharmaceutical company focused on developing compounds that activate Tie2 to treat ocular diseases and diabetic complications, as well as other indications in which the Company believes that activation of Tie2 may have therapeutic potential, including acute respiratory distress syndrome (“ARDS”) associated with COVID-19 infections. The Company was incorporated as Zeta Acquisition Corp.</w:t>
      </w:r>
    </w:p>
    <w:p>
      <w:pPr>
        <w:spacing w:after="0" w:line="2" w:lineRule="exact"/>
        <w:rPr>
          <w:sz w:val="20"/>
          <w:szCs w:val="20"/>
          <w:color w:val="auto"/>
        </w:rPr>
      </w:pPr>
    </w:p>
    <w:p>
      <w:pPr>
        <w:ind w:right="40" w:firstLine="8"/>
        <w:spacing w:after="0" w:line="260"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(“Zeta”) in the State of Delaware on November 16, 2007. Zeta was a “shell company” (as defined in Rule 12b-2 of the Securities Exchange Act of 1934, as amended).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 the following programs: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Glaucoma: </w:t>
      </w:r>
      <w:r>
        <w:rPr>
          <w:rFonts w:ascii="Arial" w:cs="Arial" w:eastAsia="Arial" w:hAnsi="Arial"/>
          <w:sz w:val="16"/>
          <w:szCs w:val="16"/>
          <w:color w:val="auto"/>
        </w:rPr>
        <w:t>Based on the preclinical proof of concept and the results of the Phase 1b trial showing a reduction in intraocular pressure (“IOP”) in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ocular hypertension (“OHT”) and open angle glaucoma (“OAG”), the Company initiated a Phase 2 clinical trial in June 2020 designed to evaluate the safety and efficacy of a topical formulation of razuprotafib (AKB-9778) in approximately 195 patients followed over a 28-day period. Patients enrolled in the trial will be administered a baseline of latanoprost ophthalmic solution 0.005%, and then randomized in a 1:1:1 fashion to receive adjunctive therapy consisting of placebo, 40 mg/ml razuprotafib once-daily, or 40 mg/ml razuprotafib twice-daily. The primary endpoint of the study is mean diurnal IOP at 28 days in the razuprotafib treated groups compared to the latanoprost monotherapy group. The Company expects to have results in the fourth quarter of 2020, subject to potential delays in subject enrollment and study completion, including due to delays arising from the ongoing COVID-19 pandemic.</w:t>
      </w:r>
    </w:p>
    <w:p>
      <w:pPr>
        <w:spacing w:after="0" w:line="5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Acute Respiratory Distress Syndrome (“ARDS”): </w:t>
      </w:r>
      <w:r>
        <w:rPr>
          <w:rFonts w:ascii="Arial" w:cs="Arial" w:eastAsia="Arial" w:hAnsi="Arial"/>
          <w:sz w:val="17"/>
          <w:szCs w:val="17"/>
          <w:color w:val="auto"/>
        </w:rPr>
        <w:t>Based on results in preclinical studies and observations in patients in the TIME-2 and TIME-2b trials,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a vascular endothelial receptor, Tie2, may play a pivotal role in the defense against microvascular breach in ARDS. The Company hypothesizes that razuprotafib, the Company’s lead Tie2 activator, may have therapeutic potential for the treatment of COVID-19 associated ARDS. In May 2020, the Company was selected by Quantum Leap Healthcare Collaborative to participate in the I-SPY COVID-19 Trial (Investigation of Serial studies to Predict Your COVID Therapeutic Response with biomarker Integration and Adaptive Learning) to evaluate razuprotafib for the treatment of COVID-19 related ARDS in adult patients with critical COVID-19. The Company expects the trial to be initiated during the third quarter of 2020 with trial updates anticipated in the first half of 2021, subject to potential delays in subject enrollment and study completion, including due to delays arising from the ongoing COVID-19 pandemic.</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Diabetic Kidney Disease: </w:t>
      </w:r>
      <w:r>
        <w:rPr>
          <w:rFonts w:ascii="Arial" w:cs="Arial" w:eastAsia="Arial" w:hAnsi="Arial"/>
          <w:sz w:val="18"/>
          <w:szCs w:val="18"/>
          <w:color w:val="auto"/>
        </w:rPr>
        <w:t>In two consecutive trials, TIME-2 and TIME-2b, subcutaneous razuprotafib (AKB-9778) showed reduction in Urine Albumin-Creatinine Ratio (“UACR”), a measure of progression of diabetic kidney disease. The Company believes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79"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i w:val="1"/>
          <w:iCs w:val="1"/>
          <w:color w:val="auto"/>
        </w:rPr>
        <w:t xml:space="preserve">ARP-1536: </w:t>
      </w:r>
      <w:r>
        <w:rPr>
          <w:rFonts w:ascii="Arial" w:cs="Arial" w:eastAsia="Arial" w:hAnsi="Arial"/>
          <w:sz w:val="17"/>
          <w:szCs w:val="17"/>
          <w:color w:val="auto"/>
        </w:rPr>
        <w:t>The humanized monoclonal antibody, ARP-1536, directed at the same target as subcutaneous razuprotafib (AKB-9778), is in preclinical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The Company is evaluating development options for ARP-1536, including subcutaneous injection for the treatment of diabetic vascular complications, e.g., diabetic nephropathy and intravitreal injection as an adjunctive therapy for diabetic macular edema.</w:t>
      </w:r>
    </w:p>
    <w:p>
      <w:pPr>
        <w:spacing w:after="0" w:line="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also developing a bispecific antibody that binds both VEGF and VE-PTP which is designed to inhibit VEGF activation and activate Tie2. The Company believes this bispecific antibody has the potential to be an improved treatment for wet aged-related macular degeneration (“AMD”) and diabetic macular edema via intravitreal injection.</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licensed AKB-4924 (now GB004), a selective stabilizer of hypoxia-inducible factor-1 alpha (“HIF-1 alpha”) to a wholly-owned subsidiary of Gossamer Bio, Inc., GB004, Inc. (collectively “Gossamer”), which is being developed for the treatment of inflammatory bowel disease (“IBD”). HIF-1 alpha is involved in mucosal wound healing and the reduction of inflammation in the gastrointestinal tract. Gossamer completed the Phase 1b clinical study in ulcerative colitis patients and reported results during the second quarter of 2020. Gossamer has reported that it is planning for the commencement of its Phase 2 program for GB004 in the first half of 2021, subject to potential delays in subject enrollment and study completion, including due to delays arising from the ongoing COVID-19 pandemic.</w:t>
      </w:r>
    </w:p>
    <w:p>
      <w:pPr>
        <w:spacing w:after="0" w:line="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May 2020, the Company received a one-time payment of $15.0 million pursuant to an amendment to its license agreement with Gossamer resulting in a reduction in future potential milestone payments and tiered royalty rates over the life of the Agreement. Gossamer is responsible for all remaining development and commercial activities for GB004.</w:t>
      </w:r>
    </w:p>
    <w:p>
      <w:pPr>
        <w:spacing w:after="0" w:line="7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described in Note 11. The Company’s product candidates are subject to long development cycles and there is no assurance the Company will be able to successfully develop, obtain regulatory approval for, or market its product candidates.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20"/>
        <w:spacing w:after="0" w:line="275" w:lineRule="auto"/>
        <w:rPr>
          <w:sz w:val="20"/>
          <w:szCs w:val="20"/>
          <w:color w:val="auto"/>
        </w:rPr>
      </w:pPr>
      <w:r>
        <w:rPr>
          <w:rFonts w:ascii="Arial" w:cs="Arial" w:eastAsia="Arial" w:hAnsi="Arial"/>
          <w:sz w:val="17"/>
          <w:szCs w:val="17"/>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pipeline products that are approved, and protection of proprietary technology. If the Company does not successfully commercialize any of its pipeline products or mitigate any of these other risks, it will be unable to generate revenue or achieve profitability.</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Excluding the one-time payments from Gossamer, the Company incurred losses from operations and had negative cash flows from operating activities for the six months ended June 30, 2020 and 2019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product revenue generating activities. However, the Company believes it has the ability to control its current operating plan and that existing cash and cash equivalents of approximately $44.9 million at June 30, 2020 will be sufficient to allow the Company to fund its current operating plan through at least the fourth quarter of 2021.</w:t>
      </w:r>
    </w:p>
    <w:p>
      <w:pPr>
        <w:spacing w:after="0" w:line="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 arrangements, and licensing arrangements.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COVID-19 has resulted, and will likely continue to result, in significant governmental measures being implemented to control the spread of the virus through quarantines, travel restrictions, heightened border security and other measures. While the Company cannot predict the scope and severity, these developments and measures could materially and adversely affect its business, including its planned Phase 2 clinical trials for the glaucoma and ARDS programs, results of operations and financial condition. In addition, in response to the continuing spread of COVID-19, the Company has kept its executive offices closed with its employees continuing their work outside of the office. The Company is closely monitoring the impact of COVID-19 on all aspects of its business and is taking steps to minimize the impact on its business. However, the extent to which COVID-19 ultimately impacts the Company’s business, results of operations or financial condition will depend on future developments, which remain highly uncertain and cannot be predicted with confidence, such as the duration of the pandemic, new information that may emerge concerning the severity of COVID-19 and the effectiveness of actions taken to contain the pandemic or treat its impact, among others. While states and jurisdictions have started to rollback stay-at-home and quarantine orders, it is difficult to predict what the lasting impact of the pandemic will be, and if the Company or any of the third parties with whom it engages were to experience additional shutdowns or other prolonged business disruptions, the Company’s ability to conduct its business in the manner and on the timelines presently planned could have a material adverse impact on the Company’s business, results of operation and financial condition.</w:t>
      </w:r>
    </w:p>
    <w:p>
      <w:pPr>
        <w:spacing w:after="0" w:line="204"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89"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U.S. GAAP as found in the Accounting Standards Codification (“ASC”) and Accounting Standards Updates (“ASU”) of the Financial Accounting Standards Board (“FASB”). All adjustments are of a normal and recurring in nature. These unaudited condensed consolidated financial statements should be read in conjunction with the consolidated financial statements of the Company as of and for the year ended December 31, 2019, included in the Company’s Annual Report on Form 10-K filed with the SEC on March 16, 2020. The results of operations for the interim periods are not necessarily indicative of results of operations for a full year. The Company’s condensed consolidated financial statements are stated in U.S. Dollars.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9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results can also be affected by economic conditions, global health concerns, such as COVID-19, and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Cash and cash equivalents consist of all cash on hand and $100,000 invested in short-term certificates of deposits with original maturities of three months or less at the time of purchase. At June 30, 2020 and December 31, 2019, the Company’s cash equivalents are primarily in money market funds. The Company maintains balances with its banks in excess of federally insured limits.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6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20"/>
        <w:spacing w:after="0" w:line="270" w:lineRule="auto"/>
        <w:rPr>
          <w:sz w:val="20"/>
          <w:szCs w:val="20"/>
          <w:color w:val="auto"/>
        </w:rPr>
      </w:pPr>
      <w:r>
        <w:rPr>
          <w:rFonts w:ascii="Arial" w:cs="Arial" w:eastAsia="Arial" w:hAnsi="Arial"/>
          <w:sz w:val="17"/>
          <w:szCs w:val="17"/>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License Fees: </w:t>
      </w:r>
      <w:r>
        <w:rPr>
          <w:rFonts w:ascii="Arial" w:cs="Arial" w:eastAsia="Arial" w:hAnsi="Arial"/>
          <w:sz w:val="17"/>
          <w:szCs w:val="17"/>
          <w:color w:val="auto"/>
        </w:rPr>
        <w:t>If a license to the Company’s intellectual property is determined to be distinct from the other performance obligations identified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Company recognizes revenues from nonrefundable, upfront (or one-time) license fees based on the relative value prescribed to the license compared to the total value of the arrangement. The revenue is recognized when the cash is received or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license fees. The Company evaluates the measure of progress each reporting period and, if necessary, adjusts the measure of performance and related revenue recognition.</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Development Milestone Payments</w:t>
      </w:r>
      <w:r>
        <w:rPr>
          <w:rFonts w:ascii="Arial" w:cs="Arial" w:eastAsia="Arial" w:hAnsi="Arial"/>
          <w:sz w:val="17"/>
          <w:szCs w:val="17"/>
          <w:color w:val="auto"/>
        </w:rPr>
        <w:t>: Depending on facts and circumstances, the Company may conclude it is appropriate to include the milestone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Sales-based Milestone and Royalty Payments: </w:t>
      </w:r>
      <w:r>
        <w:rPr>
          <w:rFonts w:ascii="Arial" w:cs="Arial" w:eastAsia="Arial" w:hAnsi="Arial"/>
          <w:sz w:val="18"/>
          <w:szCs w:val="18"/>
          <w:color w:val="auto"/>
        </w:rPr>
        <w:t>The Company’s collaborators may be required to pay the Company sales-based milestone payments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clinical, preclinical and regulatory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right="140"/>
        <w:spacing w:after="0" w:line="296"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Income taxes are recorded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condensed consolidated financial statements or tax returns. Deferred tax assets and liabilities are determined based on the difference between the condensed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2020 and December 31, 2019, the Company does not have any uncertain tax positions. The Company recognizes interest and penalties related to uncertain tax positions, if any exist,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and Comprehensive Income (Loss) per Share Attributable to Common Stockholders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Company’s basic net and comprehensive income (loss) per share attributable to common stockholders is calculated by dividing the net and comprehensive income (loss) by the weighted average number of shares of common stock outstanding for the period. The diluted net and comprehensive income (loss) per share attributable to common stockholders is computed by adjusting the weighted average shares outstanding for the dilutive effect of common stock equivalents outstanding for the period, determined using the treasury stock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Company accounts for its stock-based compensation awards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ASC 718 requires all stock-based payments to employees, including grants of employee stock options, to be recognized in the condensed consolidated statements of operations and comprehensive income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 volatility, (b) the calculation of expected term of the award, (c) the risk-free interest rate, and (d) expected dividends.</w:t>
      </w:r>
    </w:p>
    <w:p>
      <w:pPr>
        <w:spacing w:after="0" w:line="8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Due to the historical lack of public market for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6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5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880" w:right="2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during the six months ended June 30, 2020 or 2019. The assets of the Company measured at fair value on a recurring basis as of June 30, 2020 and December 31, 2019, are summarized below:</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10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44,864,284</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44,864,284</w:t>
            </w:r>
          </w:p>
        </w:tc>
        <w:tc>
          <w:tcPr>
            <w:tcW w:w="100" w:type="dxa"/>
            <w:vAlign w:val="bottom"/>
            <w:shd w:val="clear" w:color="auto" w:fill="CFF0FC"/>
          </w:tcPr>
          <w:p>
            <w:pPr>
              <w:spacing w:after="0"/>
              <w:rPr>
                <w:sz w:val="19"/>
                <w:szCs w:val="19"/>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44,864,284</w:t>
            </w:r>
          </w:p>
        </w:tc>
        <w:tc>
          <w:tcPr>
            <w:tcW w:w="20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44,864,284</w:t>
            </w:r>
          </w:p>
        </w:tc>
        <w:tc>
          <w:tcPr>
            <w:tcW w:w="100" w:type="dxa"/>
            <w:vAlign w:val="bottom"/>
            <w:tcBorders>
              <w:bottom w:val="single" w:sz="8" w:color="CFF0FC"/>
            </w:tcBorders>
          </w:tcPr>
          <w:p>
            <w:pPr>
              <w:spacing w:after="0"/>
              <w:rPr>
                <w:sz w:val="22"/>
                <w:szCs w:val="22"/>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38,524,536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38,524,536</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38,524,536</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are the only financial instruments that potentially subject the Company to concentrations of credit risk. At June 30, 2020 and December 31, 2019,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Comprehensive income (loss) is defined as the change in equity of a business enterprise during a period from transactions and other events and circumstances from non-owner sources, if any. Comprehensive income (loss) equaled net income (loss) for all periods presented.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the inception of an arrangement the Company determines whether the arrangement is or contains a lease based on the circumstances present. All leases with a term greater than one year are recognized on the condensed consolidated balance sheet as right-of-use assets, lease liabilities and, if applicable, long-term lease liabilities. The Company has elected not to recognize on the condensed consolidated balance sheet leases with terms of one-year or less if entered into. Lease liabilities and their corresponding right-of-use assets are recorded based on the present value of lease payments over the expected lease term. The interest rate implicit in lease contracts is typically not readily determinable. As such,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financial position or results of operations upon adoption.</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Improvements to Nonemployee Share-Based Payment Accounting (“ASU 2018-07”).</w:t>
      </w:r>
      <w:r>
        <w:rPr>
          <w:rFonts w:ascii="Arial" w:cs="Arial" w:eastAsia="Arial" w:hAnsi="Arial"/>
          <w:sz w:val="18"/>
          <w:szCs w:val="18"/>
          <w:color w:val="auto"/>
        </w:rPr>
        <w:t xml:space="preserve"> ASU 2018-07 improves financial reporting for share-based payments issued to nonemployees under ASC 718 by expanding the scope of the employee share-based payments guidance to include share-based payments issued to nonemployees. The amendments in ASU 2018-07 are effective for public companies for fiscal years beginning after December 31, 2018, including interim periods within that fiscal year. The Company adopted ASU 2018-07 as of January 1, 2019 and recorded a one-time cumulative adjustment of $5,717 upon adoption.</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other new accounting pronouncement recently issued or newly effective had or is expected to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are as follows: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ind w:right="613"/>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retention bonus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918,944</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521,859</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622,658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439,785</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389,854</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382,131</w:t>
            </w: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Pr>
          <w:p>
            <w:pPr>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355,602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346,999</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318,591</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689,830</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Restructuring accrual (see Note 12)</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278,846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793,913</w:t>
            </w:r>
          </w:p>
        </w:tc>
        <w:tc>
          <w:tcPr>
            <w:tcW w:w="12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79,820</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43,470</w:t>
            </w:r>
          </w:p>
        </w:tc>
        <w:tc>
          <w:tcPr>
            <w:tcW w:w="120" w:type="dxa"/>
            <w:vAlign w:val="bottom"/>
            <w:shd w:val="clear" w:color="auto" w:fill="CFF0FC"/>
          </w:tcPr>
          <w:p>
            <w:pPr>
              <w:spacing w:after="0"/>
              <w:rPr>
                <w:sz w:val="19"/>
                <w:szCs w:val="19"/>
                <w:color w:val="auto"/>
              </w:rPr>
            </w:pPr>
          </w:p>
        </w:tc>
      </w:tr>
      <w:tr>
        <w:trPr>
          <w:trHeight w:val="229"/>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29,913</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13,463</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accounts payable and accrued expenses</w:t>
            </w: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2,994,228</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3,231,450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and December 31, 2019, the Company had 300,000,000 shares of authorized common stock with par value of $0.0001 per share.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Common Stock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June 30, 2020 and December 31, 2019, the Company had warrants outstanding for the purchase of 600,000 and 917,562 shares, respectively, of the Company’s common stock. In October 2019, the Company issued warrants for the purchase of 600,000 shares of the Company’s common stock at an exercise price of $0.486 per share in connection with the hiring of a strategic advisor consultant for a six-month period. These warrants vested in equal monthly installments over a six-month period beginning October 14, 2019 and expire on October 24, 2024. At the date of grant the fair value of these awards were determined using a Black-Scholes Merton pricing model. Included at December 31,2019, are warrants for the purchase of 317,562 shares of the Company’s common stock at an exercise price of $5.00 per share that were issued in connection with the 2017 Offering and have a three-year term. The 317,562 warrants expired on March 15, 2020, and none were exercised or settled as the fair value of the Company’s common stock was below the exercise price.</w:t>
      </w:r>
    </w:p>
    <w:p>
      <w:pPr>
        <w:spacing w:after="0" w:line="84"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color w:val="auto"/>
        </w:rPr>
        <w:t>The number of shares and the exercise price shall be adjusted for standard anti-dilution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Preferred Stock</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2020 and December 31, 2019, the Company had 10,000,000 shares of preferred stock, par value $0.0001 per share, in authorized capital. No preferred stock was issued and outstanding at June 30, 2020 and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March 2020, the Company’s Board of Directors approved a 4% increase adding 1,623,520 shares to the 2017 Plan, which was effective as of January 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options granted generally vest over 48 months. Under the 2017 Plan, options vest in installments of 25% at the one-year anniversary and thereafter in 36 equal monthly installments beginning on the 1</w:t>
      </w:r>
      <w:r>
        <w:rPr>
          <w:rFonts w:ascii="Arial" w:cs="Arial" w:eastAsia="Arial" w:hAnsi="Arial"/>
          <w:sz w:val="14"/>
          <w:szCs w:val="14"/>
          <w:color w:val="auto"/>
        </w:rPr>
        <w:t>st</w:t>
      </w:r>
      <w:r>
        <w:rPr>
          <w:rFonts w:ascii="Arial" w:cs="Arial" w:eastAsia="Arial" w:hAnsi="Arial"/>
          <w:sz w:val="17"/>
          <w:szCs w:val="17"/>
          <w:color w:val="auto"/>
        </w:rPr>
        <w:t xml:space="preserve"> of the month after the one-year anniversary date, subject to the employee’s continuous service with the Company. In May 2019, the Company issued a special retention grant of options to purchase an aggregate of 2,419,050 shares of common stock which vest in installments of 50% at June 30, 2020 and 50% at June 30, 2021, subject to the employee’s continuous service with the Company. The options generally expire ten years after the date of grant. The fair value of the options at the date of grant is recognized as an expense over the requisite service period. During the three months ended June 30, 2020 and 2019, option awards to purchase an aggregate of 260,720 and 2,801,600 shares of common stock were granted, respectively, and option awards to purchase an aggregate of 962,720 and 4,622,428 shares of common stock were granted in the six months ended June 30, 2020 and 2019,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and December 31, 2019, 3,570,705 and 1,983,093 shares were reserved for issuance under the 2017 Plan, respectively.</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stock option activity during the six months ended June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6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5,335,850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962,720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(1,452,470)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June 30,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4,846,100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1,014,874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Expected to vest, June 30, 2020</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2,295,314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678,430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June 30,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2,550,786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Aggregate intrinsic value represents the estimated fair value of the Company’s common stock at in excess of the weighted average exercise price multiplied by the number of options outstanding or exercisable.</w:t>
      </w:r>
    </w:p>
    <w:p>
      <w:pPr>
        <w:spacing w:after="0" w:line="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2020, there was $2,108,948 of unrecognized compensation cost related to stock options, which is expected to be recognized over a weighted average period of 1.98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the following compensation cost related to stock-based compensation activity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176,110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371,899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232,794</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132,231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531,198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263,909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993,552</w:t>
            </w:r>
          </w:p>
        </w:tc>
        <w:tc>
          <w:tcPr>
            <w:tcW w:w="12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308,341</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604,661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635,808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1,226,346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uses the Black-Scholes option pricing model to determine the estimated fair value for stock-based awards. Option pricing and models require the input of various assumptions, including the option’s expected life, expected dividend yield, price volatility and risk-free interest rate of the underlying stock. Accordingly, the weighted-average fair value of the options granted during the three and six months ended June 30, 2020 was $0.76 and $0.43 per share, respectively. The calculation was based on the following assumptions.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88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2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4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5.92</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5.77</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0.38%</w:t>
            </w:r>
          </w:p>
        </w:tc>
        <w:tc>
          <w:tcPr>
            <w:tcW w:w="2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2.21%</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0.53%</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2.32%</w:t>
            </w:r>
          </w:p>
        </w:tc>
        <w:tc>
          <w:tcPr>
            <w:tcW w:w="12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74.82%</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65.97%</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69.36%</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65.83%</w:t>
            </w:r>
          </w:p>
        </w:tc>
        <w:tc>
          <w:tcPr>
            <w:tcW w:w="12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3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three and six months ended June 30, 2020 and 2019, due to the Company’s net and comprehensive income (loss) and increases in its deferred tax asset valuation allowance.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Net and Comprehensive Income (Loss) per Share Attributable to Common Stockholders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and comprehensive income (loss) per share (“EPS”) attributable to common stockholders for the periods presented:</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400" w:type="dxa"/>
            <w:vAlign w:val="bottom"/>
          </w:tcPr>
          <w:p>
            <w:pPr>
              <w:spacing w:after="0"/>
              <w:rPr>
                <w:sz w:val="20"/>
                <w:szCs w:val="20"/>
                <w:color w:val="auto"/>
              </w:rPr>
            </w:pPr>
            <w:r>
              <w:rPr>
                <w:rFonts w:ascii="Arial" w:cs="Arial" w:eastAsia="Arial" w:hAnsi="Arial"/>
                <w:sz w:val="18"/>
                <w:szCs w:val="18"/>
                <w:color w:val="auto"/>
              </w:rPr>
              <w:t>Net and comprehensive income (loss)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9,276,032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(5,683,616)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5,357,369</w:t>
            </w:r>
          </w:p>
        </w:tc>
        <w:tc>
          <w:tcPr>
            <w:tcW w:w="240" w:type="dxa"/>
            <w:vAlign w:val="bottom"/>
          </w:tcPr>
          <w:p>
            <w:pPr>
              <w:spacing w:after="0"/>
              <w:rPr>
                <w:sz w:val="23"/>
                <w:szCs w:val="23"/>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(14,176,441)</w:t>
            </w:r>
          </w:p>
        </w:tc>
        <w:tc>
          <w:tcPr>
            <w:tcW w:w="0" w:type="dxa"/>
            <w:vAlign w:val="bottom"/>
          </w:tcPr>
          <w:p>
            <w:pPr>
              <w:spacing w:after="0"/>
              <w:rPr>
                <w:sz w:val="1"/>
                <w:szCs w:val="1"/>
                <w:color w:val="auto"/>
              </w:rPr>
            </w:pPr>
          </w:p>
        </w:tc>
      </w:tr>
      <w:tr>
        <w:trPr>
          <w:trHeight w:val="210"/>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rPr>
                <w:sz w:val="20"/>
                <w:szCs w:val="20"/>
                <w:color w:val="auto"/>
              </w:rPr>
            </w:pPr>
            <w:r>
              <w:rPr>
                <w:rFonts w:ascii="Arial" w:cs="Arial" w:eastAsia="Arial" w:hAnsi="Arial"/>
                <w:sz w:val="18"/>
                <w:szCs w:val="18"/>
                <w:color w:val="auto"/>
              </w:rPr>
              <w:t>Weighted average common shares used in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computing EPS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40,588,004</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40,588,004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40,905,288</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40,747,960</w:t>
            </w:r>
          </w:p>
        </w:tc>
        <w:tc>
          <w:tcPr>
            <w:tcW w:w="2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40,588,004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Basic and diluted EPS</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0.23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non-vested stock-based compensation awards do not have voting rights.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 average common stock equivalents were excluded from the calculation of basic and diluted net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for the periods presented because including them would have had an anti-dilutive effect:</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1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4,846,100</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6,771,807</w:t>
            </w:r>
          </w:p>
        </w:tc>
        <w:tc>
          <w:tcPr>
            <w:tcW w:w="80" w:type="dxa"/>
            <w:vAlign w:val="bottom"/>
            <w:shd w:val="clear" w:color="auto" w:fill="CFF0FC"/>
          </w:tcPr>
          <w:p>
            <w:pPr>
              <w:spacing w:after="0"/>
              <w:rPr>
                <w:sz w:val="19"/>
                <w:szCs w:val="19"/>
                <w:color w:val="auto"/>
              </w:rPr>
            </w:pPr>
          </w:p>
        </w:tc>
      </w:tr>
      <w:tr>
        <w:trPr>
          <w:trHeight w:val="234"/>
        </w:trPr>
        <w:tc>
          <w:tcPr>
            <w:tcW w:w="516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317,562</w:t>
            </w:r>
          </w:p>
        </w:tc>
        <w:tc>
          <w:tcPr>
            <w:tcW w:w="80" w:type="dxa"/>
            <w:vAlign w:val="bottom"/>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June 30, 2020, the Company is a party to one property lease in Cincinnati, Ohio under an arrangement which provides the right to use the underlying asset and require lease payments for the lease term. During the fourth quarter of 2019, the Company terminated its leases in Lexington, Massachusetts and Dexter, Michigan; no penalties were incurred related to these terminations. The Cincinnati, Ohio lease agreement obligates the Company to pay real estate taxes, insurance and certain maintenance costs (hereinafter referred to as non-lease components). The Company’s lease arrangement contains a renewal provision of 5 years, exercisable at the Company's option. The Company’s lease agreement does not contain any material residual value guarantees or material restrictive covenants.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lease assets and operating lease liabilities are recognized at commencement date based on the present value of lease payments over the lease term and include options to extend or terminate the lease when they are reasonably certain to be exercised. The present value of lease payments is determined primarily using the incremental borrowing rate based on the information available at lease commencement date. Lease agreements with lease and non-lease components are generally accounted for as a single lease component. The Company’s operating lease expense is recognized on a straight-line basis over the lease term and are recorded in general and administrative expenses on the condensed consolidated statements of operations and comprehensive income (loss).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the lease cost and information related to the right-of-use assets and operating lease liabilities: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25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43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4360" w:type="dxa"/>
            <w:vAlign w:val="bottom"/>
          </w:tcPr>
          <w:p>
            <w:pPr>
              <w:spacing w:after="0"/>
              <w:rPr>
                <w:sz w:val="20"/>
                <w:szCs w:val="20"/>
                <w:color w:val="auto"/>
              </w:rPr>
            </w:pPr>
            <w:r>
              <w:rPr>
                <w:rFonts w:ascii="Arial" w:cs="Arial" w:eastAsia="Arial" w:hAnsi="Arial"/>
                <w:sz w:val="18"/>
                <w:szCs w:val="18"/>
                <w:color w:val="auto"/>
              </w:rPr>
              <w:t>Average rent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28,357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62,085</w:t>
            </w:r>
          </w:p>
        </w:tc>
        <w:tc>
          <w:tcPr>
            <w:tcW w:w="240" w:type="dxa"/>
            <w:vAlign w:val="bottom"/>
          </w:tcPr>
          <w:p>
            <w:pPr>
              <w:spacing w:after="0"/>
              <w:rPr>
                <w:sz w:val="23"/>
                <w:szCs w:val="23"/>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56,715</w:t>
            </w:r>
          </w:p>
        </w:tc>
        <w:tc>
          <w:tcPr>
            <w:tcW w:w="220" w:type="dxa"/>
            <w:vAlign w:val="bottom"/>
          </w:tcPr>
          <w:p>
            <w:pPr>
              <w:spacing w:after="0"/>
              <w:rPr>
                <w:sz w:val="23"/>
                <w:szCs w:val="23"/>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124,140</w:t>
            </w:r>
          </w:p>
        </w:tc>
        <w:tc>
          <w:tcPr>
            <w:tcW w:w="100" w:type="dxa"/>
            <w:vAlign w:val="bottom"/>
          </w:tcPr>
          <w:p>
            <w:pPr>
              <w:spacing w:after="0"/>
              <w:rPr>
                <w:sz w:val="23"/>
                <w:szCs w:val="23"/>
                <w:color w:val="auto"/>
              </w:rPr>
            </w:pPr>
          </w:p>
        </w:tc>
      </w:tr>
      <w:tr>
        <w:trPr>
          <w:trHeight w:val="210"/>
        </w:trPr>
        <w:tc>
          <w:tcPr>
            <w:tcW w:w="43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measurement of operating lease liabilities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29,145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62,154</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58,290</w:t>
            </w:r>
          </w:p>
        </w:tc>
        <w:tc>
          <w:tcPr>
            <w:tcW w:w="2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124,308</w:t>
            </w:r>
          </w:p>
        </w:tc>
        <w:tc>
          <w:tcPr>
            <w:tcW w:w="100" w:type="dxa"/>
            <w:vAlign w:val="bottom"/>
            <w:shd w:val="clear" w:color="auto" w:fill="CFF0FC"/>
          </w:tcPr>
          <w:p>
            <w:pPr>
              <w:spacing w:after="0"/>
              <w:rPr>
                <w:sz w:val="20"/>
                <w:szCs w:val="20"/>
                <w:color w:val="auto"/>
              </w:rPr>
            </w:pPr>
          </w:p>
        </w:tc>
      </w:tr>
      <w:tr>
        <w:trPr>
          <w:trHeight w:val="230"/>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The weighted average remaining lease term</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and discount rate at June 30, 2020</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rPr>
              <w:t>Weighted-average remaining lease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term - operating leases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future payments related to operating leases activities are presented in the table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8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2022 and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 Lease</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168"/>
              <w:spacing w:after="0"/>
              <w:rPr>
                <w:sz w:val="20"/>
                <w:szCs w:val="20"/>
                <w:color w:val="auto"/>
              </w:rPr>
            </w:pPr>
            <w:r>
              <w:rPr>
                <w:rFonts w:ascii="Arial" w:cs="Arial" w:eastAsia="Arial" w:hAnsi="Arial"/>
                <w:sz w:val="14"/>
                <w:szCs w:val="14"/>
                <w:b w:val="1"/>
                <w:bCs w:val="1"/>
                <w:color w:val="auto"/>
                <w:w w:val="96"/>
              </w:rPr>
              <w:t>Thereafter</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69,685</w:t>
            </w:r>
          </w:p>
        </w:tc>
        <w:tc>
          <w:tcPr>
            <w:tcW w:w="2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121,008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Stock Purchase Plan</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2017, the Board of Directors adopted and the stockholders approved the Employee Stock Purchase Plan that became effective in April 2017. On June 20, 2018, the Company’s shareholders approved the Amended and Restated 2017 Employee Stock Purchase Plan (“ESPP”) at the Annual Meeting of Shareholders. Pursuant to the terms of the ESPP, the Company will reserve for issuance 300,000 shares of the Company's common stock in the aggregate, plus, on January 1, 2019 and each January 1 thereafter through January 1, 2028, the number of shares of the Company's common stock reserved and available for issuance under the ESPP will be cumulatively increased by the least of (i) one percent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In March 2020, the Company’s Board of Directors approved an increase of 350,000 shares to the ESPP, which increase was effective as of January 1, 2020. No shares under the ESPP are outstanding at June 30, 2020 and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Agreement</w:t>
      </w:r>
    </w:p>
    <w:p>
      <w:pPr>
        <w:spacing w:after="0" w:line="1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June 24, 2018, the Company entered into a license agreement (the “Gossamer License Agreement”) with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Agreement, AKB-4924 was a pipeline program for the Company that completed a Phase 1a clinical trial in healthy volunteers.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12, 2020, the Company entered into Amendment No. 1 to the Gossamer License Agreement (“Amendment 1”). Pursuant to Amendment 1, Gossamer made a payment to the Company of $15.0 million on May 12, 2020. For the three and six months ended June 30, 2020, the Company recognized revenue of $15.0 million based on the terms of Amendment 1.</w:t>
      </w:r>
    </w:p>
    <w:p>
      <w:pPr>
        <w:spacing w:after="0" w:line="76"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Agreement and as amended by Amendment 1 (the “Gossamer Agreement”), Gossamer is obligated to use its commercially reasonable efforts to develop and commercialize licensed products in the United States, two major European countries and Japan for at least one of the initial indications. The Gossamer Agreement includes an exclusivity provision that prohibits the Company from developing, manufacturing or commercializing, and prohibits Gossamer from clinically developing or commercializing certain HIF stabilizing compounds other than as permitted in the Gossamer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right="140"/>
        <w:spacing w:after="0" w:line="311" w:lineRule="auto"/>
        <w:rPr>
          <w:sz w:val="20"/>
          <w:szCs w:val="20"/>
          <w:color w:val="auto"/>
        </w:rPr>
      </w:pPr>
      <w:r>
        <w:rPr>
          <w:rFonts w:ascii="Arial" w:cs="Arial" w:eastAsia="Arial" w:hAnsi="Arial"/>
          <w:sz w:val="16"/>
          <w:szCs w:val="16"/>
          <w:color w:val="auto"/>
        </w:rPr>
        <w:t>Under the terms of the Gossamer Agreement, the Company is eligible to receive up to $40.0 million in approval milestone payments related to indications in ulcerative colitis and Crohn’s disease, and up to $50.0 million in sales milestone payments. The Company is also eligible to receive the tiered royalties on sales of licensed products from percentages ranging from a low-single-digit to mid-single-digit, subject to certain customary reductions.</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under certain circumstances, in lieu of receiving the foregoing milestone payments and royalties, the Company may elect to receive 20%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in which case each of the royalty rate percentages described above would automatically be increased by low single digits). Conversely, the Company could be required to accept such 20% of those payments if Gossamer agrees to pay the Company a certain minimum upon Gossamer and its stockholders being paid. Such amount may be reduced if the transaction includes pharmaceutical candidates or products or other named asset categories in addition to the licensed products.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Gossamer Agreement expires on a licensed-product-by-licensed-product and country-by-country basis on the later of fifteen years from the date of first commercial sale or when there is no longer a valid patent claim covering such licensed product in such country. Either party may terminate the Gossamer Agreement for an uncured material breach by the other party or upon the bankruptcy or insolvency of the other party. Gossamer may terminate the Gossamer Agreement in the event Gossamer determines there is a potential safety or efficacy issue with the licensed products. The Company may terminate the Gossamer Agreement if Gossamer institutes certain actions related to the licensed patents. Under certain termination circumstances, the Company would have worldwide rights to the terminated program.</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June 30, 2020 and 2019, all development milestones, sales-based milestones and royalty payments within the Gossamer License Agreements are constrained to the point where no transaction price has been allocated to the future milestones or 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2019, the Company executed a realignment plan to reduce operating costs and better align its workforce with the needs of its ongoing business and in October 2019, the Company’s Chief Executive Officer and Chief Financial Officer departed from their positions. As a result, the Company recorded employee severance expense of $0.9 million during the three and six months ended June 30, 2019 and an additional $1.0 million in the three months ended December 31, 2019. The severance liability as of December 31, 2019 was approximately $0.8 million and was included in accounts payable and accrued expenses in the condensed consolidated balance sheet.</w:t>
      </w:r>
    </w:p>
    <w:p>
      <w:pPr>
        <w:spacing w:after="0" w:line="8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Total cash payments against the severance liability was approximately $0.3 million and $0.6 million in the three and six months ended June 30, 2020, respectively. The remaining liability as of June 30, 2020, was approximately $0.3 million and is included in accounts payable and accrued expenses in the condensed consolidated balance sheet. These amounts are expected to be substantially paid in cash by October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2018, the Company filed a shelf registration statement on Form S-3 with the SEC which was declared effective by the SEC on April 11, 2018 (the “Form S-3”). On February 21, 2018, and pursuant to the Form S-3, the Company entered into a Controlled Equity Offering Sales Agreement (the “Sales Agreement”) with Cantor Fitzgerald &amp; Co. (“Cantor”), pursuant to which it may issue and sell, from time to time, shares of its common stock having an aggregate offering price of up to $75.0 million through Cantor as the sales agent. Cantor may sell the Company’s common stock by any method permitted by law deemed to be an “at the market offering” as defined in Rule 415(a)(4) of the Securities Act, including sales made directly on or through the Nasdaq Capital Market or any other existing trade market for the Company’s common stock, in negotiated transactions at market prices prevailing at the time of sale or at prices related to prevailing market prices, or any other method permitted by law. On August 5, 2020, 1,480,000 shares of the Company’s common stock were sold under the Sales Agreement, pursuant to the Form S-3, the related prospectus, and the prospectus supplement. The net proceeds received from this transaction were $2.3 million, after deducting expenses of approximately $186,000 (including sales agent compensation of approximately $75,000) related to the sale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This Quarterly Report on Form 10-Q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8"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exploration of strategic alternatives;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880" w:right="14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maintain and establish collaborations, including with Gossamer, as well as the expected benefits from such collaboration;</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w:t>
      </w:r>
    </w:p>
    <w:p>
      <w:pPr>
        <w:spacing w:after="0" w:line="117" w:lineRule="exact"/>
        <w:rPr>
          <w:rFonts w:ascii="Arial" w:cs="Arial" w:eastAsia="Arial" w:hAnsi="Arial"/>
          <w:sz w:val="18"/>
          <w:szCs w:val="18"/>
          <w:color w:val="auto"/>
        </w:rPr>
      </w:pPr>
    </w:p>
    <w:p>
      <w:pPr>
        <w:ind w:left="880" w:right="200" w:hanging="373"/>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ultimate impact of the current coronavirus pandemic (“COVID-19”), or any other health epidemic, on our business, our clinical trials, our research programs, healthcare systems or the global economy as a whole;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or furnished to the U.S. Securities and Exchange Commission (“SEC”) completely and with the understanding that our actual future results may be materially different from any future results expressed or implied by these forward-looking statements.</w:t>
      </w:r>
    </w:p>
    <w:p>
      <w:pPr>
        <w:spacing w:after="0" w:line="77"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The following discussion of the financial condition and results of operations of Aerpio Pharmaceuticals, Inc. should be read in conjunction with the unaudited condensed consolidated financial statements and the notes to those statements included in this Quarterly Report on Form 10-Q as of and for the period ended June 30, 2020 and our audited consolidated financial statements and related notes thereto for the year ended December 31, 2019 included in our Annual Report on Form 10-K for the year ended December 31, 2019, which was filed with the SEC on March 16, 2020. Some of the information contained in this discussion and analysis including information with respect to our plans and strategy for our business, includes forward-looking statements that involve risk, uncertainties and assumptions. You should read the “Risk Factors” section of our Annual Report on Form 10-K for the fiscal year ended December 31, 2019, as updated by the risk factors contained this Quarterly Report on Form 10-Q and our other filings with the SEC, for a discussion of important factors that could cause actual results to differ materially from the results described in or implied by the forward-looking statements contained in the following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Aerpio Pharmaceuticals, Inc. is a biopharmaceutical company focused on developing compounds that activate Tie2 to treat ocular diseases and diabetic complications, as well as other indications in which the Company believes that activation of Tie2 may have therapeutic potential, including acute respiratory distress syndrome (“ARDS”) associated with COVID-19 infections.</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March 2019, we announced topline results from our Phase 2b (“TIME-2b”) clinical trial of AKB-9778 (also known as razuprotafib) for the treatment of non-proliferative diabetic retinopathy. Although the results did not meet the study’s primary endpoint, the TIME-2b study further supported the reduction of intraocular pressure (“IOP”) seen with subcutaneous razuprotafib in the previous TIME-2 study. Importantly, IOP is the only identifiable modifiable risk factor for prevention of vision loss in patients with open angle glaucoma (“OAG”) and ocular hypertension (“OHT”). Moreover, recently published mouse and human genetic data implicate the Angpt/Tie2 pathway in maintenance of Schlemm’s canal, a critical component of the conventional outflow tract. The conventional outflow tract is the main conduit for the fluid drainage from the front of the eye and the principle regulator of IOP. Based on these findings, we developed a topical ocular formulation of razuprotafib, and observed in preclinical studies activation of Tie2 in Schlemm’s canal, IOP reduction via enhanced outflow facility and favorable tolerability.</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2019, we initiated a double-masked, multiple-ascending dose Phase 1b clinical trial for OAG. We enrolled four cohorts of 12 subjects each and subjects received increasing daily doses of a topical ocular formulation of razuprotafib or placebo for seven days. The primary endpoint of the trial was ocular safety and tolerability, with IOP lowering as the key pharmacodynamic endpoint. In October 2019, we announced interim results from our Phase 1b clinical trial. The unmasked interim analysis, limited to the first three cohorts, showed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in IOP that, in the highest once daily (“QD”) dose cohort peaked at 4 hours post-dose and was sustained through eight hours on day 7, returning to baseline levels at 24 hours post-dose. Based on these data, a cohort of 43 patients with OHT/OAG (hypertensive eyes) was added to the ongoing study to assess safety and pilot efficacy in the target patient population.</w:t>
      </w:r>
    </w:p>
    <w:p>
      <w:pPr>
        <w:spacing w:after="0" w:line="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2020, we announced the results of the fifth cohort of subjects noting subjects in cohort five randomized to the active arm exhibited statistically significant decreases in IOP at all post- razuprotafib administration time points on both days 1 and 7 compared with day -1 baseline values when they were being treated with prostaglandin alone. When the change is placebo-corrected, razuprotafib plus prostaglandin versus prostaglandin alone produced a statistically significant decrease in IOP on Day 7 at 0, 4 and 8 hours post dose as compared to placebo. We believe these results suggest a persistent IOP-lowering activity from adding razuprotafib to standard-of-care prostaglandin therapy. Topical ocular administration of razuprotafib was well tolerated over seven days in cohort five. There were no reports of conjunctival hemorrhage or pain on instillation during the seven days of dosing and no systemic/non-ocular AEs were observed.</w:t>
      </w:r>
    </w:p>
    <w:p>
      <w:pPr>
        <w:spacing w:after="0" w:line="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Based on the preclinical proof of concept and the results of the Phase 1b trial showing a reduction in IOP in patients with OHT and OAG, we initiated a Phase 2 clinical trial in June 2020 designed to evaluate the safety and efficacy of a topical formulation of razuprotafib in approximately 195 patients followed over a 28-day period. Patients enrolled in the trial will be administered a baseline of latanoprost ophthalmic solution 0.005%, and then randomized in a 1:1:1 fashion to receive adjunctive therapy consisting of placebo, 40 mg/ml razuprotafib once-daily, or 40 mg/ml razuprotafib twice-daily. The primary endpoint of the study is mean diurnal IOP at 28 days in the razuprotafib treated groups compared to the latanoprost monotherapy group. We expect to have results in the fourth quarter of 2020, subject to potential delays in subject enrollment and study completion, including due to delays arising from the ongoing COVID-19 pandemic.</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glaucoma, a serious condition of the eye affecting three million patients in the U.S., is an attractive commercial opportunity. If we develop, obtain marketing approval for and commercialize razuprotafib, our goal is to capture a portion of annual sales for adjunctive glaucoma therapies. We currently estimate that the dollar value of the U.S. glaucoma market is approximately $4</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ind w:right="160"/>
        <w:spacing w:after="0" w:line="277" w:lineRule="auto"/>
        <w:rPr>
          <w:sz w:val="20"/>
          <w:szCs w:val="20"/>
          <w:color w:val="auto"/>
        </w:rPr>
      </w:pPr>
      <w:r>
        <w:rPr>
          <w:rFonts w:ascii="Arial" w:cs="Arial" w:eastAsia="Arial" w:hAnsi="Arial"/>
          <w:sz w:val="18"/>
          <w:szCs w:val="18"/>
          <w:color w:val="auto"/>
        </w:rPr>
        <w:t>billion dollars per year, and adjunctive therapies represent approximately half of this value. There were approximately 17 million prescriptions written for adjunctive glaucoma therapies in the U.S.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Acute Respiratory Distress Syndrome (“ARDS”)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Based on results in preclinical studies and observations in patients in TIME-2 and TIME-2b trials, we believe that a vascular endothelial receptor, Tie2, may play a pivotal role in the defense against microvascular breach in ARDS. We hypothesize that razuprotafib, our lead Tie2 activator, may have therapeutic potential for the treatment of COVID-19 associated ARDS. In May 2020, we were selected by Quantum Leap Healthcare Collaborative to participate in the I-SPY COVID Trial (Investigation of Serial studies to Predict Your COVID Therapeutic Response with biomarker Integration and Adaptive Learning) to evaluate razuprotafib for the treatment of COVID-19 related ARDS in adult patients with critical COVID-19. We expect the trial to be initiated during the third quarter of 2020 with trial updates anticipated in the first half of 2021, subject to potential delays in subject enrollment and study completion, including due to delays arising from the ongoing COVID-19 pandemic.</w:t>
      </w:r>
    </w:p>
    <w:p>
      <w:pPr>
        <w:spacing w:after="0" w:line="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4, 2020, we issued a press release announcing the receipt of funding to evaluate subcutaneous razuprotafib in a new randomized, investigational trial for the prevention and treatment of ARDS in adult patients with moderate to severe COVID-19. The trial is part of the MTEC-20-09-COVID-19 Treatment Military Infectious Disease Research Program (“MIDRP”). The Phase 2 clinical trial is expected to be completed in the first quarter of 2021. The Medical Technology Enterprise Consortium (“MTEC”), a non-profit organization primarily funded by the U.S. Army Medical Research and Development Command, will provide up to $5.1 million in funding toward the clinical trial, while we will support the trial with “in-kind” spending in the aggregate amount of $2.8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Diabetic Kidney Disease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two consecutive trials, TIME-2 and TIME-2b, subcutaneous razuprotafib showed reduction in Urine Albumin-Creatinine Ratio (“UACR”), a measure of progression of diabetic kidney disease. In a post-hoc analysis of the earlier TIME-2 clinical trial, there was a 21% reduction (geometric mean) in UACR from baseline in the razuprotafib treatment arms, but an overall increase in UACR in the placebo arm. The prospective UACR analyses from the recently completed TIME-2b trial largely replicated the results from the previous trial and reinforced the potential beneficial effects of Tie2 activation in diabetic kidney disease. We believe that systemic treatment with razuprotafib could have the potential to change the treatment paradigm for diabetics in the future and potentially address a major societal problem by lowering the cost of care associated generally with diabetes.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ARP-1536</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ARP-1536, our humanized monoclonal antibody directed at the same target as subcutaneous razuprotafib, is in preclinical development. We are evaluating development options for ARP-1536, including subcutaneous injection for the treatment of diabetic vascular complications, e.g., diabetic nephropathy and intravitreal injection as an adjunctive therapy for diabetic macular edema. We are also developing a bispecific antibody that binds both VEGF and VE-PTP which is designed to inhibit VEGF activation and activate Tie2. We believe this bispecific antibody has the potential to be an improved treatment for wet AMD and diabetic macular edema via intravitreal injection.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Gossamer License Agreement</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2018, we licensed AKB-4924, a selective stabilizer of hypoxia-inducible factor-1 alpha (“HIF-1 alpha”) to Gossamer Bio, Inc. (“Gossamer”) AKB-4924, (now called GB004), is being developed for the treatment of inflammatory bowel disease (“IBD”). HIF-1 alpha is involved in mucosal wound healing and the reduction of inflammation in the gastrointestinal tract. Gossamer has completed the Phase 1 multiple ascending dose (“MAD”) clinical study and is currently running a Phase 1b clinical study in ulcerative colitis patients. Gossamer has progressed GB004 during 2019 by completing the Phase 1 study in healthy volunteers and initiating a Phase 1b study in ulcerative colitis patients of 28-day duration. Gossamer reported topline results from the Phase 1b study in the second quarter of 2020 and has reported that it is planning for the commencement of its Phase 2 program for GB004 in the first half of 2021, subject to potential delays in subject enrollment and study completion, including due to delays arising from the ongoing COVID-19 pandemic. Gossamer is responsible for all remaining development and commercial activities for GB004.</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April 2019, we adopted a realignment plan to reduce operating costs and better align our workforce with the needs of our ongoing business and in October 2019, our Chief Executive Officer and Chief Financial and Business Officer departed from their positions. As a result, we recorded severance expense of $0.9 million during the three and six months ended June 30, 2019 and $1.0 million in the year ended December 31, 2019 for employee related costs, including severance benefits and payment of healthcare insurance premiums. Additionally, we recorded a one-time stock-based compensation cumulative reversal of $1.1 million during the year ended December 31, 2019 for the forfeitures of outstanding equity awards. The total remaining liability under these severance-related actions was $0.3 million as of June 30, 2020 and we anticipate that such employee related costs will be paid by the end of the fourth quarter of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jc w:val="both"/>
        <w:ind w:right="20"/>
        <w:spacing w:after="0" w:line="286" w:lineRule="auto"/>
        <w:rPr>
          <w:sz w:val="20"/>
          <w:szCs w:val="20"/>
          <w:color w:val="auto"/>
        </w:rPr>
      </w:pPr>
      <w:r>
        <w:rPr>
          <w:rFonts w:ascii="Arial" w:cs="Arial" w:eastAsia="Arial" w:hAnsi="Arial"/>
          <w:sz w:val="17"/>
          <w:szCs w:val="17"/>
          <w:color w:val="auto"/>
        </w:rPr>
        <w:t>Our primary source of liquidity to date has been through public and private sales of our common stock, redeemable convertible preferred stock, convertible debt and the proceeds from the License Agreement entered into with Gossamer (“Gossamer License Agreement”). For the three and six months ended June 30, 2020, we generated $15.0 million in revenue pursuant to Amendment No. 1 to the Gossamer License Agreement.</w:t>
      </w:r>
    </w:p>
    <w:p>
      <w:pPr>
        <w:spacing w:after="0" w:line="5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5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as a result of our ongoing activities. 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Except for the Gossamer License Agreement that we entered into with Gossamer in June 2018 and amended in May 2020, our operations to date have been limited to organizing and staffing our Company, business planning, raising capital, acquiring and developing our technology, identifying potential product candidates and undertaking preclinical and clinical studies. There can be no assurance of future revenues either from future payments related to the Gossamer License Agreement, transition services or from our product candidates. Our product candidates are subject to long development cycles, and there is no assurance we will be able to successfully develop, obtain regulatory approval for, or market our product candidates. As of June 30, 2020, we had an accumulated deficit of $136.9 million and anticipate incurring additional losses for the next several years.</w:t>
      </w:r>
    </w:p>
    <w:p>
      <w:pPr>
        <w:spacing w:after="0" w:line="5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reserves of $44.9 million at June 30, 2020 and financial condition as of this Quarterly Report on Form 10-Q, we believe our existing cash and cash equivalent will be sufficient to fund currently planned operations through at least the fourth quarter of 2021.</w:t>
      </w:r>
    </w:p>
    <w:p>
      <w:pPr>
        <w:spacing w:after="0" w:line="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11, 2020, the World Health Organization declared the outbreak of a novel strain of coronavirus, (“COVID-19”), as a global pandemic, which continues to spread throughout the United States and around the world. The COVID-19 pandemic is evolving, and to date has led to the implementation of various responses, including government-imposed quarantines, stay-at-home orders, travel restrictions, mandated business closures and other public health safety measures. In addition, in response to the spread of COVID-19, we have continued to keep our executive offices closed with our employees continue to work outside of our offices. We are closely monitoring the impact of COVID-19 on all aspects of our business, including how it may impact our planned Phase 2 clinical trial for our glaucoma program, expected timelines and costs on an ongoing basis. We do not yet know the full extent of potential delays or the impact on our business, our planned clinical trial, our research programs, healthcare systems or the global economy and we cannot presently predict the scope and severity of any potential business shutdowns or disruptions. The extent to which COVID-19 ultimately impacts our business, results of operations and financial condition will depend on future developments, which remain highly uncertain and cannot be predicted with confidence, such as the duration of the outbreak, new information that may emerge concerning the severity of COVID-19 or the effectiveness of actions to contain COVID-19 or treat its impact, among others. Although some states are starting to relax stay-at-home orders, quarantines and similar restrictions, the regulations vary on a state by state basis and the impact of loosening of those restrictions is not yet known. If we or any of the third parties with whom we engage were to experience additional shutdowns or other prolonged business disruptions, our ability to conduct our business in the manner and on the timelines presently planned could have a material adverse impact on our business, results of operation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following discussion highlights the Company’s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income (loss) presented herein. The following discussion and analysis are based on the Company’s condensed consolidated financial statements contained in this Quarterly Report on Form 10-Q, which we have prepared in accordance with U.S. generally accepted accounting principles (“U.S. GAAP” or “GAAP”). You should read the discussion and analysis together with such condensed consolidated financial statements and the related notes thereto.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Components of Statements of Operations and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License revenue relates to payments received pursuant to the license agreement with Gossamer.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Research and development expenses are expensed as incurred. Research and development expenses consist primarily of (i) employee-related expenses, including salaries, benefits, travel, and stock-based compensation expense, (ii) external research and development expenses incurred under arrangements with third parties, such as contract research organizations (“CRO’s”) and consultants, (iii) the cost of acquiring, developing, and manufacturing clinical study materials, and (iv) costs associated with preclinical, clinical and regulatory activities.</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Costs for certain development activities are recognized based on an evaluation of the progress to completion of specific tasks using information and data provided to us by our vendors and clinical sites.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continue to invest in basic research and clinical development of our product candidates, we expect research and development expenses to increase in absolute dollars.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General and administrative expenses consist primarily of compensation and related costs for our finance, human resources and other administrative personnel, including stock-based compensation, employee benefits and travel. In addition, general and administrative expenses include third-party consulting, legal, patent, audit, accounting services and facilities costs. We expect to continue to incur general and administrative expenses due to additional legal, accounting, insurance, investor relations and other costs associated with being a public company, as well as other costs associated with growing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primarily of interest income received on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Restructuring expense consists primarily of severance related expenses of employees terminated as a result of the Company’s restructuring efforts. Expenses include continued payroll, benefits and outplacement services (collectively “severance”) as defined and agreed upon by the respective employees’ severance agreement. Total severance was recognized as Restructuring expense on April 2, 2019, the date when employees were notified of the restructuring event. A corresponding restructuring accrual was also recorded and will be reduced as payments are made to the employees.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2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15,000,000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3,548,572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2,264,255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5,377,614</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7,850,506</w:t>
            </w:r>
          </w:p>
        </w:tc>
        <w:tc>
          <w:tcPr>
            <w:tcW w:w="12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2,195,515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2,799,570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4,481,406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6,054,612</w:t>
            </w:r>
          </w:p>
        </w:tc>
        <w:tc>
          <w:tcPr>
            <w:tcW w:w="12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120" w:type="dxa"/>
            <w:vAlign w:val="bottom"/>
            <w:shd w:val="clear" w:color="auto" w:fill="CFF0FC"/>
          </w:tcPr>
          <w:p>
            <w:pPr>
              <w:spacing w:after="0"/>
              <w:rPr>
                <w:sz w:val="19"/>
                <w:szCs w:val="19"/>
                <w:color w:val="auto"/>
              </w:rPr>
            </w:pPr>
          </w:p>
        </w:tc>
      </w:tr>
      <w:tr>
        <w:trPr>
          <w:trHeight w:val="223"/>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5,744,087</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5,978,919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9,859,020</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14,820,212</w:t>
            </w:r>
          </w:p>
        </w:tc>
        <w:tc>
          <w:tcPr>
            <w:tcW w:w="120" w:type="dxa"/>
            <w:vAlign w:val="bottom"/>
            <w:tcBorders>
              <w:bottom w:val="single" w:sz="8" w:color="CFF0FC"/>
            </w:tcBorders>
          </w:tcPr>
          <w:p>
            <w:pPr>
              <w:spacing w:after="0"/>
              <w:rPr>
                <w:sz w:val="19"/>
                <w:szCs w:val="19"/>
                <w:color w:val="auto"/>
              </w:rPr>
            </w:pP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9,255,913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(5,978,919)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5,140,980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(14,820,212)</w:t>
            </w:r>
          </w:p>
        </w:tc>
        <w:tc>
          <w:tcPr>
            <w:tcW w:w="120" w:type="dxa"/>
            <w:vAlign w:val="bottom"/>
            <w:shd w:val="clear" w:color="auto" w:fill="CFF0FC"/>
          </w:tcPr>
          <w:p>
            <w:pPr>
              <w:spacing w:after="0"/>
              <w:rPr>
                <w:sz w:val="19"/>
                <w:szCs w:val="19"/>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Grant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79,900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20,272</w:t>
            </w:r>
          </w:p>
        </w:tc>
        <w:tc>
          <w:tcPr>
            <w:tcW w:w="12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20,119</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290,379</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136,489</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623,499</w:t>
            </w:r>
          </w:p>
        </w:tc>
        <w:tc>
          <w:tcPr>
            <w:tcW w:w="120" w:type="dxa"/>
            <w:vAlign w:val="bottom"/>
            <w:shd w:val="clear" w:color="auto" w:fill="CFF0FC"/>
          </w:tcPr>
          <w:p>
            <w:pPr>
              <w:spacing w:after="0"/>
              <w:rPr>
                <w:sz w:val="19"/>
                <w:szCs w:val="19"/>
                <w:color w:val="auto"/>
              </w:rPr>
            </w:pPr>
          </w:p>
        </w:tc>
      </w:tr>
      <w:tr>
        <w:trPr>
          <w:trHeight w:val="223"/>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20,119</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295,303</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216,389</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643,771</w:t>
            </w:r>
          </w:p>
        </w:tc>
        <w:tc>
          <w:tcPr>
            <w:tcW w:w="120" w:type="dxa"/>
            <w:vAlign w:val="bottom"/>
            <w:tcBorders>
              <w:bottom w:val="single" w:sz="8" w:color="CFF0FC"/>
            </w:tcBorders>
          </w:tcPr>
          <w:p>
            <w:pPr>
              <w:spacing w:after="0"/>
              <w:rPr>
                <w:sz w:val="19"/>
                <w:szCs w:val="19"/>
                <w:color w:val="auto"/>
              </w:rPr>
            </w:pPr>
          </w:p>
        </w:tc>
      </w:tr>
      <w:tr>
        <w:trPr>
          <w:trHeight w:val="223"/>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income (loss)</w:t>
            </w: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9,276,032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(5,683,616)</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5,357,369</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(14,176,441)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June 30,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Revenue</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License revenue for the three and six months ended June 30, 2020 reflects the $15.0 million payment received as consideration pursuant to the amendment to the Gossamer License Agreement. This revenue was recognized when cash was received on May 12, 2020.</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No such license agreement amendment was executed in 2019, nor were any milestones of the Gossamer license agreement achieved in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34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50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3,548,572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2,264,255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5,377,614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7,850,506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2,195,515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2,799,570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4,481,406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6,054,612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w:t>
            </w:r>
          </w:p>
        </w:tc>
        <w:tc>
          <w:tcPr>
            <w:tcW w:w="5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00" w:type="dxa"/>
            <w:vAlign w:val="bottom"/>
            <w:gridSpan w:val="2"/>
            <w:vMerge w:val="restart"/>
          </w:tcPr>
          <w:p>
            <w:pPr>
              <w:jc w:val="right"/>
              <w:ind w:right="187"/>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5,744,087</w:t>
            </w:r>
          </w:p>
        </w:tc>
        <w:tc>
          <w:tcPr>
            <w:tcW w:w="600" w:type="dxa"/>
            <w:vAlign w:val="bottom"/>
            <w:gridSpan w:val="2"/>
            <w:vMerge w:val="restart"/>
          </w:tcPr>
          <w:p>
            <w:pPr>
              <w:jc w:val="right"/>
              <w:ind w:right="187"/>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5,978,919</w:t>
            </w:r>
          </w:p>
        </w:tc>
        <w:tc>
          <w:tcPr>
            <w:tcW w:w="560" w:type="dxa"/>
            <w:vAlign w:val="bottom"/>
            <w:gridSpan w:val="2"/>
            <w:vMerge w:val="restart"/>
          </w:tcPr>
          <w:p>
            <w:pPr>
              <w:jc w:val="right"/>
              <w:ind w:right="187"/>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9,859,020</w:t>
            </w:r>
          </w:p>
        </w:tc>
        <w:tc>
          <w:tcPr>
            <w:tcW w:w="240" w:type="dxa"/>
            <w:vAlign w:val="bottom"/>
          </w:tcPr>
          <w:p>
            <w:pPr>
              <w:spacing w:after="0"/>
              <w:rPr>
                <w:sz w:val="19"/>
                <w:szCs w:val="19"/>
                <w:color w:val="auto"/>
              </w:rPr>
            </w:pPr>
          </w:p>
        </w:tc>
        <w:tc>
          <w:tcPr>
            <w:tcW w:w="360" w:type="dxa"/>
            <w:vAlign w:val="bottom"/>
            <w:gridSpan w:val="2"/>
            <w:vMerge w:val="restart"/>
          </w:tcPr>
          <w:p>
            <w:pPr>
              <w:jc w:val="right"/>
              <w:ind w:right="187"/>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14,820,212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for the three months ended June 30, 2020, increased by approximately $1.3 million or 56.7%, compared to the three months ended June 30, 2019. This was the result of increased spending on clinical trials during the three months ended June 30, 2020, specifically planning for the Phase 2 program for glaucoma and the I-SPY program for ARDS, compared to spending related to the glaucoma Phase 1b clinical trial during the same period in 2019.</w:t>
      </w:r>
    </w:p>
    <w:p>
      <w:pPr>
        <w:spacing w:after="0" w:line="7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Research and development expenses for the six months ended June 30, 2020, decreased approximately $2.5 million or 31.5%, compared to the six months ended June 30, 2019. This was the result of decreased spending on clinical trials during the first half of 2020 compared to the two trials in process during the first half of 2019, completion of razuprotafib TIME-2b and glaucoma Phase 1b clinical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2020, decreased by approximately $0.6 million, or 21.6%, compared to the three months ended June 30, 2019. This decrease was primarily attributable to a decrease in employee related expenses of $0.2 million and stock-based compensation of $0.4 million.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4" w:name="page25"/>
    <w:bookmarkEnd w:id="24"/>
    <w:p>
      <w:pPr>
        <w:ind w:right="260"/>
        <w:spacing w:after="0" w:line="263" w:lineRule="auto"/>
        <w:rPr>
          <w:sz w:val="20"/>
          <w:szCs w:val="20"/>
          <w:color w:val="auto"/>
        </w:rPr>
      </w:pPr>
      <w:r>
        <w:rPr>
          <w:rFonts w:ascii="Arial" w:cs="Arial" w:eastAsia="Arial" w:hAnsi="Arial"/>
          <w:sz w:val="18"/>
          <w:szCs w:val="18"/>
          <w:color w:val="auto"/>
        </w:rPr>
        <w:t>General and administrative expenses for the six months ended June 30, 2020, decreased by approximately $1.6 million, or 26.0%, compared to the six months ended June 30, 2019. This decrease was primarily attributable to a decrease in employee related expenses of $0.5 million, legal expenses of $0.3 million, stock-based compensation of $0.6 million and general office expenses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Restructuring expense for the three and six months ended June 30, 2019 of $0.9 million is the result of a reduction of headcount during the second quarter of 2019. No such actions were taken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00" w:lineRule="exact"/>
        <w:rPr>
          <w:sz w:val="20"/>
          <w:szCs w:val="20"/>
          <w:color w:val="auto"/>
        </w:rPr>
      </w:pPr>
    </w:p>
    <w:p>
      <w:pPr>
        <w:spacing w:after="0" w:line="31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4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166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Grant income</w:t>
            </w:r>
          </w:p>
        </w:tc>
        <w:tc>
          <w:tcPr>
            <w:tcW w:w="6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79,900</w:t>
            </w: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20,272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6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20,119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290,379</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136,489</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660" w:type="dxa"/>
            <w:vAlign w:val="bottom"/>
            <w:gridSpan w:val="2"/>
            <w:vMerge w:val="restart"/>
            <w:shd w:val="clear" w:color="auto" w:fill="CFF0FC"/>
          </w:tcPr>
          <w:p>
            <w:pPr>
              <w:jc w:val="right"/>
              <w:ind w:right="867"/>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20,119</w:t>
            </w:r>
          </w:p>
        </w:tc>
        <w:tc>
          <w:tcPr>
            <w:tcW w:w="1240" w:type="dxa"/>
            <w:vAlign w:val="bottom"/>
            <w:gridSpan w:val="2"/>
            <w:vMerge w:val="restart"/>
            <w:shd w:val="clear" w:color="auto" w:fill="CFF0FC"/>
          </w:tcPr>
          <w:p>
            <w:pPr>
              <w:jc w:val="right"/>
              <w:ind w:right="827"/>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295,303</w:t>
            </w:r>
          </w:p>
        </w:tc>
        <w:tc>
          <w:tcPr>
            <w:tcW w:w="320" w:type="dxa"/>
            <w:vAlign w:val="bottom"/>
            <w:shd w:val="clear" w:color="auto" w:fill="CFF0FC"/>
          </w:tcPr>
          <w:p>
            <w:pPr>
              <w:spacing w:after="0"/>
              <w:rPr>
                <w:sz w:val="19"/>
                <w:szCs w:val="19"/>
                <w:color w:val="auto"/>
              </w:rPr>
            </w:pP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216,389</w:t>
            </w:r>
          </w:p>
        </w:tc>
        <w:tc>
          <w:tcPr>
            <w:tcW w:w="660" w:type="dxa"/>
            <w:vAlign w:val="bottom"/>
            <w:gridSpan w:val="2"/>
            <w:vMerge w:val="restart"/>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643,771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980" w:type="dxa"/>
            <w:vAlign w:val="bottom"/>
            <w:shd w:val="clear" w:color="auto" w:fill="CFF0FC"/>
          </w:tcPr>
          <w:p>
            <w:pPr>
              <w:spacing w:after="0"/>
              <w:rPr>
                <w:sz w:val="5"/>
                <w:szCs w:val="5"/>
                <w:color w:val="auto"/>
              </w:rPr>
            </w:pPr>
          </w:p>
        </w:tc>
        <w:tc>
          <w:tcPr>
            <w:tcW w:w="1660" w:type="dxa"/>
            <w:vAlign w:val="bottom"/>
            <w:gridSpan w:val="2"/>
            <w:vMerge w:val="continue"/>
            <w:shd w:val="clear" w:color="auto" w:fill="CFF0FC"/>
          </w:tcPr>
          <w:p>
            <w:pPr>
              <w:spacing w:after="0"/>
              <w:rPr>
                <w:sz w:val="5"/>
                <w:szCs w:val="5"/>
                <w:color w:val="auto"/>
              </w:rPr>
            </w:pPr>
          </w:p>
        </w:tc>
        <w:tc>
          <w:tcPr>
            <w:tcW w:w="580" w:type="dxa"/>
            <w:vAlign w:val="bottom"/>
            <w:vMerge w:val="continue"/>
            <w:shd w:val="clear" w:color="auto" w:fill="CFF0FC"/>
          </w:tcPr>
          <w:p>
            <w:pPr>
              <w:spacing w:after="0"/>
              <w:rPr>
                <w:sz w:val="5"/>
                <w:szCs w:val="5"/>
                <w:color w:val="auto"/>
              </w:rPr>
            </w:pPr>
          </w:p>
        </w:tc>
        <w:tc>
          <w:tcPr>
            <w:tcW w:w="1240" w:type="dxa"/>
            <w:vAlign w:val="bottom"/>
            <w:gridSpan w:val="2"/>
            <w:vMerge w:val="continue"/>
            <w:shd w:val="clear" w:color="auto" w:fill="CFF0FC"/>
          </w:tcPr>
          <w:p>
            <w:pPr>
              <w:spacing w:after="0"/>
              <w:rPr>
                <w:sz w:val="5"/>
                <w:szCs w:val="5"/>
                <w:color w:val="auto"/>
              </w:rPr>
            </w:pPr>
          </w:p>
        </w:tc>
        <w:tc>
          <w:tcPr>
            <w:tcW w:w="620" w:type="dxa"/>
            <w:vAlign w:val="bottom"/>
            <w:vMerge w:val="continue"/>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380" w:type="dxa"/>
            <w:vAlign w:val="bottom"/>
            <w:vMerge w:val="continue"/>
            <w:shd w:val="clear" w:color="auto" w:fill="CFF0FC"/>
          </w:tcPr>
          <w:p>
            <w:pPr>
              <w:spacing w:after="0"/>
              <w:rPr>
                <w:sz w:val="5"/>
                <w:szCs w:val="5"/>
                <w:color w:val="auto"/>
              </w:rPr>
            </w:pPr>
          </w:p>
        </w:tc>
        <w:tc>
          <w:tcPr>
            <w:tcW w:w="1240" w:type="dxa"/>
            <w:vAlign w:val="bottom"/>
            <w:vMerge w:val="continue"/>
            <w:shd w:val="clear" w:color="auto" w:fill="CFF0FC"/>
          </w:tcPr>
          <w:p>
            <w:pPr>
              <w:spacing w:after="0"/>
              <w:rPr>
                <w:sz w:val="5"/>
                <w:szCs w:val="5"/>
                <w:color w:val="auto"/>
              </w:rPr>
            </w:pPr>
          </w:p>
        </w:tc>
        <w:tc>
          <w:tcPr>
            <w:tcW w:w="660" w:type="dxa"/>
            <w:vAlign w:val="bottom"/>
            <w:gridSpan w:val="2"/>
            <w:vMerge w:val="continue"/>
            <w:shd w:val="clear" w:color="auto" w:fill="CFF0FC"/>
          </w:tcPr>
          <w:p>
            <w:pPr>
              <w:spacing w:after="0"/>
              <w:rPr>
                <w:sz w:val="5"/>
                <w:szCs w:val="5"/>
                <w:color w:val="auto"/>
              </w:rPr>
            </w:pPr>
          </w:p>
        </w:tc>
        <w:tc>
          <w:tcPr>
            <w:tcW w:w="126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in the three and six months ended June 30, 2020, reflects interest earned on short term money market instruments. The net proceeds from our underwritten public offering in June 2018 and payments received in conjunction with the execution of the Gossamer Agreement in June 2018 and Amendment No. 1 to the Gossamer License Agreement in May 2020, less cash used in operations, were available for investment. The decrease in interest income was due to lower interest rates compared to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Since inception, we have incurred significant net and comprehensive losses and negative cash flows from operations. For the six months ended June 30, 2020 and 2019, we had net and comprehensive income (loss) of $5.4 million and ($14.2) million, respectively. At June 30, 2020 and December 31, 2019, we had an accumulated deficit of $136.9 million and $142.2 million, respectively.</w:t>
      </w:r>
    </w:p>
    <w:p>
      <w:pPr>
        <w:spacing w:after="0" w:line="76" w:lineRule="exact"/>
        <w:rPr>
          <w:sz w:val="20"/>
          <w:szCs w:val="20"/>
          <w:color w:val="auto"/>
        </w:rPr>
      </w:pPr>
    </w:p>
    <w:p>
      <w:pPr>
        <w:jc w:val="both"/>
        <w:ind w:right="460"/>
        <w:spacing w:after="0" w:line="301" w:lineRule="auto"/>
        <w:rPr>
          <w:sz w:val="20"/>
          <w:szCs w:val="20"/>
          <w:color w:val="auto"/>
        </w:rPr>
      </w:pPr>
      <w:r>
        <w:rPr>
          <w:rFonts w:ascii="Arial" w:cs="Arial" w:eastAsia="Arial" w:hAnsi="Arial"/>
          <w:sz w:val="16"/>
          <w:szCs w:val="16"/>
          <w:color w:val="auto"/>
        </w:rPr>
        <w:t>At June 30, 2020, we had cash and cash equivalents of $44.9 million. To date, we have financed our operations principally through private and public offerings of our equity securities, private placements of our redeemable convertible preferred stock, common stock, issuances of secured convertible promissory notes and proceeds from the Gossamer License Agreement and Amendment No. 1 thereto. Based on our current plans, we expect that our existing cash and cash equivalents, will enable us to conduct our planned operations through at least the fourth quarter of 2021.</w:t>
      </w:r>
    </w:p>
    <w:p>
      <w:pPr>
        <w:spacing w:after="0" w:line="4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2018, we filed a shelf registration statement on Form S-3 with the SEC which was declared effective by the Securities and Exchange Commission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As of June 30, 2020, no shares of common stock had been sold under this Sales Agreement. On August 5, 2020, we sold 1,480,000 shares of common stock under this Sales Agreement and received net proceeds of $2.3 million, after deducting expenses of approximately $186,000 (including sales agent compensation of approximately $75,000).</w:t>
      </w:r>
    </w:p>
    <w:p>
      <w:pPr>
        <w:spacing w:after="0" w:line="7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explore a range of strategic alternatives focused on maximizing stockholder value from our clinical assets and cash resources. Such alternatives may include the potential for an acquisition, company sale, merger, business combination, asset sale, in-license, out-license or other strategic transaction. The Company continues to explore strategic alternatives; however, there can be no assurance that the exploration of strategic alternatives will result in any transaction or other alternative.</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Market volatility resulting from COVID-19 or other factors could also adversely impact our ability to access capital as and when needed.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50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6,351,946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(14,224,328)</w:t>
            </w:r>
          </w:p>
        </w:tc>
        <w:tc>
          <w:tcPr>
            <w:tcW w:w="80" w:type="dxa"/>
            <w:vAlign w:val="bottom"/>
            <w:shd w:val="clear" w:color="auto" w:fill="CFF0FC"/>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(12,198)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(232,672)</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6,339,748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(14,457,000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historically experienced negative cash outflows as we developed razuprotafib and our pipeline programs. Our net cash generated by and used in operating activities primarily results from our net income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w:t>
      </w:r>
    </w:p>
    <w:p>
      <w:pPr>
        <w:spacing w:after="0" w:line="80"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For the six months ended June 30, 2020, operating activities generated $6.4 million in cash as result of net income of $5.4 million, non-cash expenses of $0.7 million related to stock-based compensation and depreciation expense and an increase in working capital of $0.3 million. For the six months ended June 30, 2019, operating activities used $14.2 million in cash as a result of a net loss of $14.2 million and a decrease of $1.3 million in working capital, offset by $1.3 million in non-cash expenses related to stock-based compensation expense and depreciation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for the six months ended June 30, 2020 and 2019, was related to capital expenditures to support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cash flows during the six months ended June 30,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have been no material changes outside the ordinary course of business during the period covered by this Quarterly Report on Form 10-Q from the contractual obligations and commitments as of December 31, 2019 as described in our Annual Report on Form 10-K filed with the SEC on March 16,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and December 31, 2019, we did not have any off-balance sheet arrangements as defined by applicable SEC regulations.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6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on all our significant accounting policies, see the notes to our condensed consolidated financial statements appearing elsewhere in this Quarterly Report on Form 10-Q and our Annual Report on Form 10-K filed with the SEC on March 16,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are an “emerging growth company” within the meaning of the Jumpstart Our Business Startups Act of 2012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by this Item.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our principal financial officer, we conducted an evaluation of the effectiveness of our disclosure controls and procedures as of June 30, 2020, the end of the period covered by this Quarterly Report on Form 10-Q.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222222"/>
        </w:rPr>
        <w:t>During the quarter ended June 30, 2020,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As of the date of this Quarterly Report on Form 10-Q,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and in other documents that we file with the SEC should be carefully considered. The risks and uncertainties described below are not intended to be exhaustive and are not the only ones we face. Additional risks and uncertainties not presently known to us or that we presently deem less significant may also impair our business operations. Please see page 18 of this Quarterly Report on Form 10-Q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incurred net and comprehensive losses each year since our inception, with the exception of the three months ended September 30, 2018 and June 30, 2020, as a result of the upfront Gossamer payments discussed above. For the three months ended June 30, 2020, we incurred net and comprehensive income of $9.3 million, compared to net and comprehensive loss of $5.7 million for the three months ended June 30, 2019. As of June 30, 2020, we had an accumulated deficit of $136.9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5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In June 2019 we initiated a Phase 1b clinical trial for our lead product candidate, razuprotafib (formerly AKB-9778), for a topical drop formulation to treat open angle glaucoma and ocular hypertension. Our other product candidates, including ARP-1536, are in preclinical development. As a result, we expect that it will be several years, if ever, before we have a product candidate ready for commercialization. Even if we obtain regulatory approval to market razuprotafib or any of our other product candidates, our future revenues will depend upon the size of any markets in which razuprotafib or any of our other product candidates has received approval, our ability to achieve sufficient market acceptance, reimbursement from third-party payors and other factors.</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likely increase significantly if and as we:</w:t>
      </w:r>
    </w:p>
    <w:p>
      <w:pPr>
        <w:spacing w:after="0" w:line="62" w:lineRule="exact"/>
        <w:rPr>
          <w:sz w:val="20"/>
          <w:szCs w:val="20"/>
          <w:color w:val="auto"/>
        </w:rPr>
      </w:pPr>
    </w:p>
    <w:p>
      <w:pPr>
        <w:ind w:left="880" w:right="160" w:hanging="373"/>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a topical drop formulation of razuprotafib for the treatment of open angle glaucoma and ocular hypertension, including as we plan to advance into a Phase 2 clinical trial of this product candidate;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880" w:hanging="373"/>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razuprotafib, ARP-1536 and other product candidates that we may develop or acquire, including additional indications for one or more of these product candidates, such as razuprotafib for the treatment of ARDS in adult patients with critical COVID-19;</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8" w:name="page29"/>
    <w:bookmarkEnd w:id="28"/>
    <w:p>
      <w:pPr>
        <w:ind w:right="300"/>
        <w:spacing w:after="0" w:line="301"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(“FDA”) the European Medicines Agency (“EMA”) or other regulatory authorities to perform studies in addition to those currently expected, or if there are any delays in completing our clinical trials or the development of any of our product candidates, our expenses could increase.</w:t>
      </w:r>
    </w:p>
    <w:p>
      <w:pPr>
        <w:spacing w:after="0" w:line="4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net and comprehensive income (loss)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5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of June 30, 2020, our cash and cash equivalents were $44.9 million. We believe that we will continue to expend substantial resources for the foreseeable future developing razuprotafib for the indications that we are pursuing, such as OAG and ocular hypertension.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300" w:hanging="373"/>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of progress, results and cost of commencing our planned Phase 2 program of razuprotafib for open angle glaucoma and ocular hypertension and our operating costs incurred as we conduct these trials, including any unforeseen costs we may incur as a result of clinical trial delays due to the COVID-19 pandemic or other causes;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size, rate of progress, results and costs of initiating and completing additional development of razuprotafib;</w:t>
      </w:r>
    </w:p>
    <w:p>
      <w:pPr>
        <w:spacing w:after="0" w:line="117" w:lineRule="exact"/>
        <w:rPr>
          <w:rFonts w:ascii="Arial" w:cs="Arial" w:eastAsia="Arial" w:hAnsi="Arial"/>
          <w:sz w:val="18"/>
          <w:szCs w:val="18"/>
          <w:color w:val="auto"/>
        </w:rPr>
      </w:pPr>
    </w:p>
    <w:p>
      <w:pPr>
        <w:ind w:left="880" w:right="100" w:hanging="373"/>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razuprotafib in the United States, Europe and in other jurisdictions, including to fund the preparation and filing of regulatory submissions for razuprotafib with the FDA, the EMA and other regulatory authorities;</w:t>
      </w:r>
    </w:p>
    <w:p>
      <w:pPr>
        <w:spacing w:after="0" w:line="75"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ARP-1536 and any other product candidates that we may develop or acquire;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ARP-1536 if clinical trials of this product candidate are successful;</w:t>
      </w:r>
    </w:p>
    <w:p>
      <w:pPr>
        <w:spacing w:after="0" w:line="140" w:lineRule="exact"/>
        <w:rPr>
          <w:rFonts w:ascii="Arial" w:cs="Arial" w:eastAsia="Arial" w:hAnsi="Arial"/>
          <w:sz w:val="16"/>
          <w:szCs w:val="16"/>
          <w:color w:val="auto"/>
        </w:rPr>
      </w:pPr>
    </w:p>
    <w:p>
      <w:pPr>
        <w:ind w:left="880" w:right="58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880" w:right="7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40" w:lineRule="exact"/>
        <w:rPr>
          <w:rFonts w:ascii="Arial" w:cs="Arial" w:eastAsia="Arial" w:hAnsi="Arial"/>
          <w:sz w:val="16"/>
          <w:szCs w:val="16"/>
          <w:color w:val="auto"/>
        </w:rPr>
      </w:pPr>
    </w:p>
    <w:p>
      <w:pPr>
        <w:ind w:left="880" w:right="240" w:hanging="373"/>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140"/>
        <w:spacing w:after="0" w:line="289"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will be sufficient to fund our projected operating expenses and capital expenditure requirements through at least the fourth quarter of 2021.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Market volatility resulting from the COVID-19 pandemic or other factors could also adversely impact our ability to access capital as and when needed. If adequate funds are not available to us on a timely basis, we may be required to delay, limit, reduce or terminate preclinical studies, clinical trials or other development activities for razuprotafib, ARP-1536 or any other product candidates that we develop or acquire, or delay, limit, reduce or terminate our establishment of sales and marketing capabilities or other activities that may be necessary to commercialize our product candidates.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corporate restructuring and the associated headcount reduction may not result in anticipated savings, could result in total costs and expenses that are greater than expected and could disrupt our business.</w:t>
      </w:r>
    </w:p>
    <w:p>
      <w:pPr>
        <w:spacing w:after="0" w:line="6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April 2019, we adopted a realignment plan to reduce operating costs and better align our workforce with the needs of our ongoing business. The realignment plan reduced our workforce by 11 employees, representing approximately 41% of our workforce.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Furthermore, our restructuring plan may be disruptive to our operations. For example, our headcount reductions could yield unanticipated consequences, such as increased difficulties in implementing our business strategy, including retention of our remaining employees.</w:t>
      </w:r>
    </w:p>
    <w:p>
      <w:pPr>
        <w:spacing w:after="0" w:line="16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cannot assure you that our exploration of strategic alternatives will result in a transaction or that any such transaction would be successful, and the process of exploring strategic alternatives or its conclusion could adversely impact our business and our stock price.</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October 2019, we announced the engagement of Evercore, Ladenburg Thalmann &amp; Co. Inc. and Duane Nash, M.D., J.D., M.B.A. to assist us in identifying and evaluating a range of potential strategic alternatives, including an acquisition, company sale, merger, business combination, asset sale, in-license, out-license or other strategic transaction. This strategic alternative process is ongoing. There can be no assurances that the strategic alternatives process will result in the announcement or consummation of any strategic transaction, or that any resulting plans or transactions will yield additional value for shareholders. Any potential transaction would be dependent on a number of factors that may be beyond our control, including, among other things, market conditions, industry trends, the interest of third parties in a potential transaction with us and the availability of financing to potential buyers on reasonable terms.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process of exploring strategic alternatives could adversely impact our business, financial condition and results of operations. We could incur substantial expenses associated with identifying and evaluating potential strategic alternatives, including those related to equity compensation, severance pay and legal, accounting and financial advisory fees. In addition, the process may be time consuming and disruptive to our business operations, could divert the attention of management and the Board of Directors from our business, could negatively impact our ability to attract, retain and motivate key employees, and could expose us to potential litigation in connection with this process or any resulting transaction. Further, speculation regarding any developments related to the review of strategic alternatives and perceived uncertainties related to the future of the Company could cause our stock price to fluctuate significantly.</w:t>
      </w:r>
    </w:p>
    <w:p>
      <w:pPr>
        <w:spacing w:after="0" w:line="19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Gossamer for the development and commercialization of AKB-4924.</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we are unable to raise additional funds through equity or debt financing when needed, we may be required to delay, limit, reduce or terminate our product development or commercialization efforts for razuprotafib, ARP-1536 or any other product candidates that we develop or acquire, or grant rights to develop and market product candidates that we would otherwise prefer to develop and market ourselves.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our lead product candidate, razuprotafib. Even if we obtain favorable clinical results, we may not be able to obtain regulatory approval for, or successfully commercialize, razuprotafib.</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rely on our lead product candidate, razuprotafib, and our business depends almost entirely on the successful clinical development, regulatory approval and commercialization of that product candidate, which may never occur. In March 2019, we announced topline results of the Phase 2b clinical trial for razuprotafib in the treatment of non-proliferative diabetic retinopathy. While we believed razuprotafib had the potential to slow down or possibly reverse retinal vascular changes caused by diabetes, the subcutaneous administration of razuprotafib twice daily did not meet the study’s primary endpoint of the percentage of patients with an improvement of two or more steps in diabetic retinopathy severity score (DRSS) in the study eye, compared to placebo. In June 2019, we initiated a Phase 1b clinical trial for our lead product candidate, razuprotafib, for a topical drop formulation to treat open angle glaucoma and ocular hypertension. In October 2019, we announced interim results from its Phase 1b clinical trial. The unmasked interim analysis, limited to the first three cohorts, shows the topical ocular administration of razuprotafib was well tolerated. Compared to placebo, there was a dose dependent increase in minimal to mild conjunctival hyperemia with razuprotafib, which was transient and generally considered non-adverse, and a time and dose dependent reduction IOP that, in the highest QD dose cohort peaked at 4 hours post-dose and was sustained through eight hours on day 7, returning to baseline levels at 24 hours post-dose. Based on these data, a cohort of up to 36 patients with OHT/OAG (hypertensive eyes) was added to the ongoing study to assess safety and pilot efficacy in the target patient population, and results were announced in January 2020. These results showed statistically significant decreases in IOP on Day 1 and Day 7 compared to prostaglandin alone. When compared to placebo, razuprotafib plus prostaglandin produced a statistically significant decrease in IOP versus prostaglandin alone on Day 7. Topical ocular administration of razuprotafib was well-tolerated over seven days, with 21.9% of subjects experiencing hyperemia compared with 9.1% of subjects in the prostaglandin alone arm. Based on the preclinical proof of concept and the results of the Phase 1b trial showing a reduction in IOP in patients with OHT and OAG, we initiated our Phase 2 clinical trial in June 2020 and expect results in the fourth quarter of 2020, subject to potential delays in subject enrollment and study completion, including due to the COVID-19 pandemic.</w:t>
      </w:r>
    </w:p>
    <w:p>
      <w:pPr>
        <w:spacing w:after="0" w:line="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addition, in May 2020, we were selected by Quantum Leap Healthcare Collaborative to participate in the I-SPY COVID Trial to evaluate razuprotafib for the treatment of COVID-19 related ARDS in adult patients with critical COVID-19. However, investigation into the therapeutic potential of razuprotafib in this indication is in its early stages and is exploratory, and there can be no assurance that the development of razuprotafib will yield promising results in this indication or that such development will be successful or otherwise proceed on the anticipated timelines or within the anticipated budget. The I-SPY COVID trial is an investigator-sponsored clinical trial, which is being conducted by Quantum Leap. While we have provided input to I-SPY with respect to the razuprotafib arm of the I-SPY COVID clinical trial, we have not controlled and do not control the design or administration of investigator-sponsored clinical trials, nor the submission or approval of any IND or foreign equivalent required to conduct these trials. As a result,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60"/>
        <w:spacing w:after="0" w:line="287" w:lineRule="auto"/>
        <w:rPr>
          <w:sz w:val="20"/>
          <w:szCs w:val="20"/>
          <w:color w:val="auto"/>
        </w:rPr>
      </w:pPr>
      <w:r>
        <w:rPr>
          <w:rFonts w:ascii="Arial" w:cs="Arial" w:eastAsia="Arial" w:hAnsi="Arial"/>
          <w:sz w:val="16"/>
          <w:szCs w:val="16"/>
          <w:color w:val="auto"/>
        </w:rPr>
        <w:t>We currently have no products for sale, generate no revenues from sales of any drugs, and may never be able to develop marketable products. Razuprotafib will require substantial additional clinical development, testing, manufacturing process development, and regulatory approval before we are permitted to commence its commercialization. We are currently evaluating development options for ARP-1536, which is our other product candidate that we are developing internally. None of our product candidates has advanced into a pivotal trial, and it may be years before such a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razuprotafib.</w:t>
      </w:r>
    </w:p>
    <w:p>
      <w:pPr>
        <w:spacing w:after="0" w:line="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not permitted to market razuprotafib in the United States until we receive approval of an NDA from the FDA, or in any foreign countries until we receive the requisite approval from such countries. As a condition to submitting an NDA to the FDA for razuprotafib, we must complete our ongoing Phase 2 clinical trial, conduct and complete further Phase 3 clinical trials, and any additional nonclinical studies or clinical trials required by the FDA. To date, we have only completed a Phase 1b clinical trial of razuprotafib in healthy volunteers and in patients with open angle glaucoma or ocular hypertension on standard of care prostaglandin therapy. Razuprotafib may not be successful in clinical trials or receive regulatory approval. Further, razuprotafib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razuprotafib will never obtain regulatory approval. The FDA may delay, limit or deny approval of razuprotafib for many reasons, including, among others:</w:t>
      </w:r>
    </w:p>
    <w:p>
      <w:pPr>
        <w:spacing w:after="0" w:line="64" w:lineRule="exact"/>
        <w:rPr>
          <w:sz w:val="20"/>
          <w:szCs w:val="20"/>
          <w:color w:val="auto"/>
        </w:rPr>
      </w:pPr>
    </w:p>
    <w:p>
      <w:pPr>
        <w:ind w:left="8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demonstrate that razuprotafib is safe and effective in treating patients with open angle glaucoma and ocular hypertension, or any other indications that may be pursued for the product candidate, to the satisfaction of the FDA;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razuprotafib;</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 research organizations (“CROs”) or the clinical investigators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our CROs or clinical investigators may fail to perform in accordance with the FDA’s good clinical practice (“GCP”)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880" w:right="460" w:hanging="373"/>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In addition, similar reasons may cause the EMA or other regulatory authorities to delay, limit or deny approval of razuprotafib outside the United States.</w:t>
      </w:r>
    </w:p>
    <w:p>
      <w:pPr>
        <w:spacing w:after="0" w:line="14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razuprotafib. Because our business is substantially dependent upon razuprotafib, any such setback in our pursuit of regulatory approval would have a material adverse effect on our business and prospects.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80"/>
        <w:spacing w:after="0" w:line="255" w:lineRule="auto"/>
        <w:rPr>
          <w:sz w:val="20"/>
          <w:szCs w:val="20"/>
          <w:color w:val="auto"/>
        </w:rPr>
      </w:pPr>
      <w:r>
        <w:rPr>
          <w:rFonts w:ascii="Arial" w:cs="Arial" w:eastAsia="Arial" w:hAnsi="Arial"/>
          <w:sz w:val="18"/>
          <w:szCs w:val="18"/>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(“REMS”) for a product, which could impose restrictions on its distribution. Any of the foregoing scenarios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obtained agreement with the FDA, EMA or other regulatory authorities on the design of our development programs.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While we have interacted with the FDA and received feedback from the agency for the design of our ongoing Phase 2 clinical trial of razuprotafib, we have not obtained agreement with the FDA on the design of such trial or any future trials we may conduct for this product candidate. As a result, we have not yet received additional regulatory input on the development program for razuprotafib beyond our ongoing clinical trial or any other product candidate. As we progress this candidate through clinical trials, the FDA may determine that we would be required to conduct additional clinical trials. The FDA could also disagree with our proposed design of our planned development programs and could suggest a larger number of subjects or a longer course of treatment than our current expectations. If the FDA takes such positions, the costs of our razuprotafib development program could increase materially and the potential market introduction of razuprotafib could be delayed or we could risk not obtaining FDA approval even if our clinical trials meet their primary endpoints. The FDA also may require that we conduct additional clinical, nonclinical or manufacturing validation studies and submit that data before it will consider an NDA application.</w:t>
      </w:r>
    </w:p>
    <w:p>
      <w:pPr>
        <w:spacing w:after="0" w:line="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not yet sought guidance for the regulatory path for the topical formulation of razuprotafib for open angle glaucoma and ocular hypertension with the FDA, EMA or other regulatory authorities, nor have we interacted with such agencies with respect to the development of razuprotafib for any other indications, including for COVID-19. We cannot predict what additional requirements may be imposed by these regulatory authorities or how such requirements might delay or increase costs for our planned development programs. Because our business is almost entirely dependent upon the successful development, regulatory approval, and commercialization of razuprotafib, any such delay or increase in costs would have an adverse effect on our business.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current pandemic of COVID-19 and the future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Broad-based business or economic disruptions could adversely affect our ongoing or planned research and development activities. For example, in December 2019, an outbreak of a novel strain of coronavirus originated in Wuhan, China, and has since spread to other regions and countries worldwide. In March 2020, the World Health Organization declared the COVID-19 outbreak a pandemic, and the U.S. government imposed travel restrictions on travel between the United States, Europe and certain other countries. To date, the COVID-19 pandemic has caused significant disruptions to the U.S. and global economy and has contributed to significant volatility and negative pressure in financial markets. The global impact of the outbreak is continually evolving and, as additional cases of the virus are identified, many countries, including the U.S., have reacted by instituting quarantines, restrictions on travel and mandatory closures of businesses. Almost all U.S. states and many local jurisdictions, including where we or the third parties with whom we engage operate, have issued “shelter-in-place” orders, quarantines, executive orders and similar government orders, restrictions, and recommendations for their residents to control the spread of COVID-19. Such orders, restrictions and recommendations, and the perception that additional orders, restrictions or recommendations could occur, have resulted in widespread closures of businesses not deemed “essential,” work stoppages, slowdowns and delays, work-from-home policies, travel restrictions and cancellation of events, as well as record declines in stock prices, among other effects. Although some states are starting to relax quarantines and similar restrictions, the regulations vary on a state by state basis and the impact of loosening of those restrictions is not yet known.</w:t>
      </w:r>
    </w:p>
    <w:p>
      <w:pPr>
        <w:spacing w:after="0" w:line="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extent to which COVID-19 may impact our preclinical studies or clinical trial operations will depend on future developments, which are highly uncertain and cannot be predicted with confidence, such as the duration of the outbreak, the severity of COVID-19, or the effectiveness of actions to contain and treat COVID-19. For example, while we initiated our ongoing Phase 2 clinical trial of razuprotafib for open angle glaucoma in June 2020, the cost, timeline, completion and conduct of this trial will be subject to potential delays arising from the ongoing COVID-19 pandemic. The continued spread of COVID-19 globally could adversely impact our preclinical studies or clinical trial operations in the United States, including our ability to recruit and retain patients and principal investigators and site staff who, as healthcare providers, may have heightened exposure to COVID-19 if an outbreak occurs in their geography. COVID-19 may also affect employees of third-party CROs located in affected geographies that we rely upon to carry out our clinical trials. Any negative impact COVID-19 has to patient enrollment or treatment or the execution of our current product candidates and any future product candidates could cause costly delays to clinical trial activities, which could adversely affect our ability to obtain regulatory approval for and to commercialize our current product candidate and any future product candidates, increase our operating expenses, and have a material adverse effect on our financial results.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80"/>
        <w:spacing w:after="0" w:line="270" w:lineRule="auto"/>
        <w:rPr>
          <w:sz w:val="20"/>
          <w:szCs w:val="20"/>
          <w:color w:val="auto"/>
        </w:rPr>
      </w:pPr>
      <w:r>
        <w:rPr>
          <w:rFonts w:ascii="Arial" w:cs="Arial" w:eastAsia="Arial" w:hAnsi="Arial"/>
          <w:sz w:val="17"/>
          <w:szCs w:val="17"/>
          <w:color w:val="auto"/>
        </w:rPr>
        <w:t>Further, the COVID-19 outbreak may delay enrollment in our clinical trials due to diversion or prioritization of trial site resources away from the conduct of clinical trials and toward the COVID-19 pandemic. Key clinical trial activities, such as site monitoring, may be interrupted due to restrictions in travel, and some patients may be unwilling to enroll in our trials or be unable to comply with clinical trial protocols if quarantines or travel restrictions impede patient movement or interrupt healthcare services, which would delay our ability to conduct clinical trials or release clinical trial results. The spread of COVID-19, or another infectious disease, could also negatively affect the operations at our third-party manufacturers, which could result in delays or disruptions in the supply of our current product candidates and any future product candidates. In addition, we may continue to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timely enrollment in our clinical trials is dependent upon clinical trial sites which may be adversely affected by global health matters, such as pandemics. For example, we are currently conducting our ongoing Phase 2 clinical trial for razuprotafib for open angle glaucoma, and our trial sites are located in geographies that have been affected by COVID-19. Some factors from the COVID-19 outbreak that may adversely affect enrollment in the clinical trials of our product candidates include:</w:t>
      </w:r>
    </w:p>
    <w:p>
      <w:pPr>
        <w:spacing w:after="0" w:line="79" w:lineRule="exact"/>
        <w:rPr>
          <w:sz w:val="20"/>
          <w:szCs w:val="20"/>
          <w:color w:val="auto"/>
        </w:rPr>
      </w:pPr>
    </w:p>
    <w:p>
      <w:pPr>
        <w:ind w:left="740" w:right="60" w:hanging="368"/>
        <w:spacing w:after="0" w:line="263"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740" w:right="20" w:hanging="368"/>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and delay or inability to secure visas or entry permission, as applicable;</w:t>
      </w:r>
    </w:p>
    <w:p>
      <w:pPr>
        <w:spacing w:after="0" w:line="38" w:lineRule="exact"/>
        <w:rPr>
          <w:rFonts w:ascii="Arial" w:cs="Arial" w:eastAsia="Arial" w:hAnsi="Arial"/>
          <w:sz w:val="17"/>
          <w:szCs w:val="17"/>
          <w:color w:val="auto"/>
        </w:rPr>
      </w:pPr>
    </w:p>
    <w:p>
      <w:pPr>
        <w:ind w:left="740" w:right="60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 and</w:t>
      </w:r>
    </w:p>
    <w:p>
      <w:pPr>
        <w:spacing w:after="0" w:line="62" w:lineRule="exact"/>
        <w:rPr>
          <w:rFonts w:ascii="Arial" w:cs="Arial" w:eastAsia="Arial" w:hAnsi="Arial"/>
          <w:sz w:val="18"/>
          <w:szCs w:val="18"/>
          <w:color w:val="auto"/>
        </w:rPr>
      </w:pPr>
    </w:p>
    <w:p>
      <w:pPr>
        <w:ind w:left="740" w:hanging="368"/>
        <w:spacing w:after="0" w:line="34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employee disruptions caused by workplace closures, staffing shortages, travel limitations or mass transit disruptions, that could adversely impact our business operations or delay necessary interactions with local regulators, ethics committees and other important agencies and contractors.</w:t>
      </w:r>
    </w:p>
    <w:p>
      <w:pPr>
        <w:spacing w:after="0" w:line="16"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We cannot presently predict the scope and severity of any potential business shutdowns or disruptions. If we or any of the third parties with whom we engage were to experience additional shutdowns or other prolonged business disruptions, our ability to conduct our business in the manner and on the timelines presently planned could have a material adverse impact on our business and our results of operation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and there is no guarantee that we can successfully enroll patients in a timely manner for our clinical trials. Our competitors may have ongoing clinical trials for product candidates that could be competitive with our product candidates, and patients who would otherwise be eligible for our clinical trials may instead enroll in clinical trials of our competitors’ product candidates. As a result, the timeline for recruiting patients, conducting trials and obtaining regulatory approval of potential products may be delayed. These delays could result in increased costs, delays in advancing our development of razuprotafib or termination of the clinical trials altogether.</w:t>
      </w:r>
    </w:p>
    <w:p>
      <w:pPr>
        <w:spacing w:after="0" w:line="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4" w:name="page35"/>
    <w:bookmarkEnd w:id="34"/>
    <w:p>
      <w:pPr>
        <w:ind w:left="880" w:right="1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razuprotafib or any other product candidate in relation to available therapies or other products under development;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With respect to the investigator-sponsored I-SPY trial to evaluate razuprotafib for its potential to treat ARDS associated with COVID-19, the trial may encounter enrollment challenges due to the large number of product candidates in development for the indication, all of whom compete for patients. Such enrollment challenges may be exacerbated to the extent additional product candidates enter development or the number of COVID-19 patients eligible for evaluation decline.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conduct our clinical trials for our product candidates in trial sites outside of the United States, including Japan and the European Union, and seek regulatory approval for our product candidates in major markets in addition to the United States, including the European Union and Japan. Our ability to successfully initiate, enroll and complete a clinical trial in any foreign country, should we attempt to do so, is subject to numerous risks unique to conducting business in international markets, including:</w:t>
      </w:r>
    </w:p>
    <w:p>
      <w:pPr>
        <w:spacing w:after="0" w:line="79"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our product candidates in countries outside of the United States.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preclinical studies or earlier stage clinical trials are not necessarily predictive of the results of our future clinical trials of razuprotafib. If we cannot replicate the positive results from preclinical studies or earlier stage clinical trials in subsequent clinical trials, we may be unable to successfully develop, obtain regulatory approval for and commercialize our product candidates.</w:t>
      </w:r>
    </w:p>
    <w:p>
      <w:pPr>
        <w:spacing w:after="0" w:line="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we observed encouraging preclinical and clinical results for razuprotafib in non-proliferative diabetic retinopathy, but this product candidate did not meet the study endpoints in our TIME-2b clinical trial. There can be no assurance that the results of our planned and future clinical trials will produce positive results. In addition, later stage clinical trials are expected to enroll a larger number of subjects and will treat subjects for longer periods than earlier stage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140"/>
        <w:spacing w:after="0" w:line="263" w:lineRule="auto"/>
        <w:rPr>
          <w:sz w:val="20"/>
          <w:szCs w:val="20"/>
          <w:color w:val="auto"/>
        </w:rPr>
      </w:pPr>
      <w:r>
        <w:rPr>
          <w:rFonts w:ascii="Arial" w:cs="Arial" w:eastAsia="Arial" w:hAnsi="Arial"/>
          <w:sz w:val="18"/>
          <w:szCs w:val="18"/>
          <w:color w:val="auto"/>
        </w:rPr>
        <w:t>If the results of our ongoing or future clinical trials for razuprotafib are inconclusive with respect to efficacy, if we do not meet our clinical endpoints with statistical significance, or if there are safety concerns or adverse events, we may be prevented from or delayed in obtaining marketing approval for razuprotafib.</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experience delays in the planned clinical development program for razuprotafib,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institutional review board (“IRB”) approval at each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planned and ongoing clinical trials. We could encounter delays if a clinical trial is suspended or terminated by us, by the relevant IRBs at the sites at which such trials are being conducted, by the Data Safety Monitoring Board (“DSMB”) for such trial or by the FDA or other regulatory authorities. Such authorities may impose such a suspension or termination, including a clinical hold,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including those experienced by other product candidates in the same class as our product candidates,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66"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4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(“cGMP”) requirements and GCP requirements for any clinical trials that we conduct post-approval.</w:t>
      </w:r>
    </w:p>
    <w:p>
      <w:pPr>
        <w:spacing w:after="0" w:line="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clinical trials. We expect to continue to rely on third parties, such as CROs, clinical data management organizations, medical institutions and clinical investigators to conduct our clinical trials in the future, including our ongoing Phase 2 clinical trial for razuprotafib.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8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5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Further, if these third parties experience disruptions due to the COVID-19 pandemic and government measures taken in response to the COVID-19 pandemic, it may adversely affect our ability to initiate and complete our preclinical studies and clinical trials.</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intend to rely on third parties to conduct some or all aspects of our product manufacturing, and these third parties may not perform satisfactorily.</w:t>
      </w:r>
    </w:p>
    <w:p>
      <w:pPr>
        <w:spacing w:after="0" w:line="15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razuprotafib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right="20"/>
        <w:spacing w:after="0" w:line="289" w:lineRule="auto"/>
        <w:rPr>
          <w:sz w:val="20"/>
          <w:szCs w:val="20"/>
          <w:color w:val="auto"/>
        </w:rPr>
      </w:pPr>
      <w:r>
        <w:rPr>
          <w:rFonts w:ascii="Arial" w:cs="Arial" w:eastAsia="Arial" w:hAnsi="Arial"/>
          <w:sz w:val="16"/>
          <w:szCs w:val="16"/>
          <w:color w:val="auto"/>
        </w:rPr>
        <w:t>Any of these third parties may terminate their engagement with us at any time. We currently have arrangements in place for the manufacturing of drug substance and drug product for our development programs.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razuprotafib is approved and marketed, a failure to satisfy patient demand.</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880" w:right="420" w:hanging="373"/>
        <w:spacing w:after="0" w:line="308"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3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17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approved, we plan to commercialize razuprotafib ourselves in the United States and intend to seek one or more strategic collaborators to commercialize razuprotafib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 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payments contingent upon the achievement of specified milestones. On May 12, 2020, we entered into Amendment No. 1 to the Gossamer License Agreement (“Amendment 1”) and received a payment of $15.0 million in conjunction with the terms of the Amendment 1.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16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4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 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Moreover, the inventors of our patents or patent applications or our scientific consultants may become involved with competitors, develop products or processes which design around our patents, or become hostile to us or the patents or patent applications on which they are named as inventors. Likewise, our collaborators may become hostile to us or develop products or processes that are adjacent to or compete with us, including products and processes outside the scope of our patents. For example, a hostile collaborator may use technology similar to ours to pursue treatment of an indication that we plan to pursue, and may obtain approval for a product before we do. A hostile collaborator may file patent applications based on information learned from us. Such patent applications may become prior art that will be detrimental to future patent applications by us on similar technology.</w:t>
      </w:r>
    </w:p>
    <w:p>
      <w:pPr>
        <w:spacing w:after="0" w:line="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20"/>
        <w:spacing w:after="0" w:line="287"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right="400"/>
        <w:spacing w:after="0" w:line="263" w:lineRule="auto"/>
        <w:rPr>
          <w:sz w:val="20"/>
          <w:szCs w:val="20"/>
          <w:color w:val="auto"/>
        </w:rPr>
      </w:pPr>
      <w:r>
        <w:rPr>
          <w:rFonts w:ascii="Arial" w:cs="Arial" w:eastAsia="Arial" w:hAnsi="Arial"/>
          <w:sz w:val="18"/>
          <w:szCs w:val="18"/>
          <w:color w:val="auto"/>
        </w:rPr>
        <w:t>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If another party questions the patentability of any of our claims in our U.S. patents, the third 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6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Moreover, our reliance on third parties may be exploited by a third party with knowledge of our Company, including knowledge of our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5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5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Parties making claims against us may seek and obtain injunctive or other equitable relief, which could effectively block our ability to further develop and commercialize razuprotafib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6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 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Even if we obtain marketing approval for razuprotafib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6" w:lineRule="exact"/>
        <w:rPr>
          <w:sz w:val="20"/>
          <w:szCs w:val="20"/>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example, the current established treatments for glaucoma are predominantly eye drop drugs such as prostaglandins (e.g., latanoprost), beta blockers (e.g., timolol), carbonic anhydrase inhibitors (e.g., dorozolamide) and alpha agonists (e.g., brimonidine), many of which are generic, and are used as single agent therapies or combinations of a prostaglandin along with another agent. Recently there have been new agents approved including netarsidil (Rhopress TM, and in combination with latanoprost, Rhoclatan TM) and latanoprostene bunod (Vyzulta TM) In addition, razuprotafib is being explored for its potential to treat ARDS associated with COVID-19, an indication in which many companies have devoted substantial time and resources and for which a large number of agents are in various stages of development, such as remdesivir and dexamethasone. If one or more of these competing agents are approved for commercial sale and receive market acceptance as the standard of care in this indication, physicians may be resistant to prescribing razuprotafib even if it receives regulatory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18"/>
          <w:szCs w:val="18"/>
          <w:color w:val="auto"/>
        </w:rPr>
        <w:t>Unless we demonstrate that razuprotafib has single agent efficacy as effective as or more effective than current single-agent standard of care, or as effective or more effective in combination with a prostaglandin such as latanoprost as other combination products, prescribers may be resistant to prescribing it for glaucoma.</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 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 Factors that may inhibit our efforts to commercialize our products on our own include:</w:t>
      </w:r>
    </w:p>
    <w:p>
      <w:pPr>
        <w:spacing w:after="0" w:line="58" w:lineRule="exact"/>
        <w:rPr>
          <w:sz w:val="20"/>
          <w:szCs w:val="20"/>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880" w:right="60" w:hanging="373"/>
        <w:spacing w:after="0" w:line="263"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effectively manage a geographically dispersed sales and marketing team;</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future revenues and profitability will be adversely affected if United States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84" w:lineRule="exact"/>
        <w:rPr>
          <w:sz w:val="20"/>
          <w:szCs w:val="20"/>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 Further, due to the COVID-19 pandemic, millions of individuals have lost or will be losing employer-based insurance coverage, which may adversely affect our ability to commercialize our product candidates even if there is adequate coverage and reimbursement from third party payors.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products or product candidates for which we obtain marketing approval.</w:t>
      </w:r>
    </w:p>
    <w:p>
      <w:pPr>
        <w:spacing w:after="0" w:line="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4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8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Affordable Care Act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(increased to 70% as of January 1, 2019 pursuant to subsequent legislation) point-of-sale discounts off negotiated prices of applicable brand drugs to eligible beneficiaries during their coverage gap period as a condition for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20"/>
        <w:spacing w:after="0" w:line="254" w:lineRule="auto"/>
        <w:rPr>
          <w:sz w:val="20"/>
          <w:szCs w:val="20"/>
          <w:color w:val="auto"/>
        </w:rPr>
      </w:pPr>
      <w:r>
        <w:rPr>
          <w:rFonts w:ascii="Arial" w:cs="Arial" w:eastAsia="Arial" w:hAnsi="Arial"/>
          <w:sz w:val="18"/>
          <w:szCs w:val="18"/>
          <w:color w:val="auto"/>
        </w:rPr>
        <w:t>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Pursuant to the Coronavirus Aid, Relief, and Economic Security Act, also known as the CARES Act, these reductions are suspended from May 1, 2020 through December 31, 2020 due to the COVID-19 pandemic. As the legislation currently stands, the reductions will go back into effect January 2021 and will remain in effect through 2030 unless additional Congressional action is taken.</w:t>
      </w:r>
    </w:p>
    <w:p>
      <w:pPr>
        <w:spacing w:after="0" w:line="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On December 18, 2019, the Fifth Circuit U.S. Court of Appeals held the individual mandate is unconstitutional, and remanded the case to the lower court to reconsider its earlier invalidation of the full ACA. In March 2020, the U.S. Supreme Court agreed to hear this case, with arguments likely to take place later this year. Pending review, the ACA remains in effect, but it is unclear at this time what effect the latest ruling will have on the status of the ACA. Litigation and legislation related to the ACA are likely to continue, with unpredictable and uncertain results. We will continue to evaluate the effect that the ACA and its possible repeal and replacement has on our business.</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the Trump administration’s budget for fiscal year 2021 includes a $135 billion allowance (over a period of time) to support legislative proposals seeking to reduce drug prices, increase competition, lower out-of-pocket drug costs for patients, and increase patient access to lower-cost generic and biosimilar drugs. Additionally, in 2018,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and, at the same time, is immediately implementing others under its existing authority. For example, in May 2019, the Centers for Medicare &amp; Medicaid Services (“CMS”) issued a final rule to allow Medicare Advantage Plans the option of using step therapy, a type of prior authorization, for Part B drugs beginning January 1, 2020. This final rule codified CMS’s policy change that was effective January 1, 2019. It is unclear what effect such changes will have on our business and our ability to receive adequate reimbursement for our future products.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1"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and the level of taxes that we are required to pay.</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w:t>
      </w:r>
    </w:p>
    <w:p>
      <w:pPr>
        <w:spacing w:after="0" w:line="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72" w:lineRule="exact"/>
        <w:rPr>
          <w:sz w:val="20"/>
          <w:szCs w:val="20"/>
          <w:color w:val="auto"/>
        </w:rPr>
      </w:pPr>
    </w:p>
    <w:p>
      <w:pPr>
        <w:ind w:left="880" w:hanging="373"/>
        <w:spacing w:after="0" w:line="288" w:lineRule="auto"/>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73" w:lineRule="exact"/>
        <w:rPr>
          <w:rFonts w:ascii="Arial" w:cs="Arial" w:eastAsia="Arial" w:hAnsi="Arial"/>
          <w:sz w:val="16"/>
          <w:szCs w:val="16"/>
          <w:color w:val="auto"/>
        </w:rPr>
      </w:pPr>
    </w:p>
    <w:p>
      <w:pPr>
        <w:ind w:left="880" w:right="180" w:hanging="373"/>
        <w:spacing w:after="0" w:line="259"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60" w:hanging="373"/>
        <w:spacing w:after="0" w:line="269"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or the FCA, which prohibit, among other things, individuals or entities from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Companies that submit claims directly to payors may also be liable under the FCA for the direct submission of such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left="880" w:right="20" w:hanging="373"/>
        <w:spacing w:after="0" w:line="272"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and its implementing regulations,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17"/>
          <w:szCs w:val="17"/>
          <w:color w:val="auto"/>
        </w:rPr>
      </w:pPr>
    </w:p>
    <w:p>
      <w:pPr>
        <w:ind w:left="880" w:right="40" w:hanging="373"/>
        <w:spacing w:after="0" w:line="25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or HITECH, and its implementing regulations, which imposes certain requirements on certain covered healthcare providers, health plans, and healthcare clearinghouses, otherwise known as covered entities, relating to the privacy, security and transmission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0" w:lineRule="exact"/>
        <w:rPr>
          <w:rFonts w:ascii="Arial" w:cs="Arial" w:eastAsia="Arial" w:hAnsi="Arial"/>
          <w:sz w:val="18"/>
          <w:szCs w:val="18"/>
          <w:color w:val="auto"/>
        </w:rPr>
      </w:pPr>
    </w:p>
    <w:p>
      <w:pPr>
        <w:ind w:left="880" w:right="40" w:hanging="373"/>
        <w:spacing w:after="0" w:line="271"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federal transparency requirements under the Affordable Care Act, including the Physician Payment Sunshine Act, which require drug and biologics manufacturers eligible for payment under Medicare, Medicaid or the Children’s Health Insurance Program to report annually to HHS, information related to payments or other “transfers of value” made or distributed to physicians (defined to include doctors, dentists, optometrists, podiatrists and chiropractors) and teaching hospitals, as well as ownership and investment interests held by the physicians described above and their immediate family members. Failure to submit required information may result in civil monetary penalties for all payments, transfers of value or ownership or investment interests that are not timely, accurately, and completely reported in an annual submission. Effective January 1, 2022, these reporting obligations will extend to include transfers of value made to certain non-physician providers such as physician assistants and nurse practitioners.</w:t>
      </w:r>
    </w:p>
    <w:p>
      <w:pPr>
        <w:spacing w:after="0" w:line="83" w:lineRule="exact"/>
        <w:rPr>
          <w:rFonts w:ascii="Arial" w:cs="Arial" w:eastAsia="Arial" w:hAnsi="Arial"/>
          <w:sz w:val="17"/>
          <w:szCs w:val="17"/>
          <w:color w:val="auto"/>
        </w:rPr>
      </w:pPr>
    </w:p>
    <w:p>
      <w:pPr>
        <w:ind w:left="880" w:right="3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75" w:lineRule="exact"/>
        <w:rPr>
          <w:rFonts w:ascii="Arial" w:cs="Arial" w:eastAsia="Arial" w:hAnsi="Arial"/>
          <w:sz w:val="18"/>
          <w:szCs w:val="18"/>
          <w:color w:val="auto"/>
        </w:rPr>
      </w:pPr>
    </w:p>
    <w:p>
      <w:pPr>
        <w:ind w:left="880" w:right="400" w:hanging="373"/>
        <w:spacing w:after="0" w:line="259"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5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6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including environmental, health and safety laws and regulations, we may be subject to penalties, including administrative, civil and criminal penalties, exclusion from participation in government healthcare programs, such as Medicare and Medicaid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20"/>
        <w:spacing w:after="0" w:line="273" w:lineRule="auto"/>
        <w:rPr>
          <w:sz w:val="20"/>
          <w:szCs w:val="20"/>
          <w:color w:val="auto"/>
        </w:rPr>
      </w:pPr>
      <w:r>
        <w:rPr>
          <w:rFonts w:ascii="Arial" w:cs="Arial" w:eastAsia="Arial" w:hAnsi="Arial"/>
          <w:sz w:val="17"/>
          <w:szCs w:val="17"/>
          <w:color w:val="auto"/>
        </w:rPr>
        <w:t>imprisonment, damages, fines and the curtailment or restructuring of our operations, any of which could adversely affect our ability to operate our business and our results of operations.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razuprotafib is approved and launched commercially, competing drugs may include generic agents that comprise current standard of care (e.g., latanoprost, timolol, and others) as well as newly approved agents such as Rhopressa, Rhoclatan (Aerie Pharmaceuticals) and Vyzulta (Bausch + Lomb), and others that are in development for the treatment of glaucoma. In addition, razuprotafib is being explored for its potential to treat ARDS associated with COVID-19, an indication in which many companies have devoted substantial time and resources and for which a large number of agents are in various stages of development.</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Aerie Pharmaceuticals, Baush + Lomb, Santen, Novartis, ONO, Takeda, Allergan and others compete in the market for products for the treatment of glaucoma. Companies developing product candidates for the treatment or prevention of ARDS as it relates to COVID-19 include, but not limited to the following, Lilly, Regeneron, Takeda, Amgen, Abbvie, Edesa Biotech, Implicit Bioscience, Athersys and Biomarck Pharmaceuticals.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6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Serious adverse events deemed to be caused by our product candidates could have a material adverse effect on the development of our product candidates and our business as a whole. The most common drug-related adverse events to date in the clinical trials evaluating the safety and tolerability of subcutaneous razuprotafib have been dizziness and asymptomatic decreases in blood pressure, and these adverse events may occur in future development by this route of administration. The most common adverse event seen in the Phase 1b clinical trial evaluating the safety and tolerability of topical ocular razuprotafib was mild conjunctival hyperemia. Our understanding of the relationship between razuprotafib and these events, as well as our understanding of adverse events in future clinical trials of other product candidates, may change as we gather more information, and additional unexpected adverse events may be observed.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1" w:name="page52"/>
    <w:bookmarkEnd w:id="51"/>
    <w:p>
      <w:pPr>
        <w:ind w:right="72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the potential use of razuprotafib for the treatment of ARDS associated with COVID-19, we have not conducted clinical development of this product candidate for such indication. As a result, while we believe razuprotafib may have a favorable tolerability profile in this patient population, there can be no assurance that we will not observe the incidence of adverse events or serious adverse events upon further development of razuprotafib. For example, the incidence of adverse events and serious adverse events may be magnified in this patient population due to the critical and often life-threatening nature of the underlying disease.</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are highly dependent on members of our senior management, including Joseph Gardner, our President and Founder and former Chief Executive Officer, Kevin G. Peters, our Chief Scientific Officer and acting Chief Medical Officer, and Regina Marek, our Vice President of Finance. The loss of the services of any of these persons could impede the achievement of our research, development and commercialization objectives.</w:t>
      </w:r>
    </w:p>
    <w:p>
      <w:pPr>
        <w:spacing w:after="0" w:line="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 In addition, in April 2019, we adopted a realignment plan to reduce operating costs and better align our workforce with the needs of our ongoing business. The realignment plan reduced our workforce by 11 employees, representing approximately 41% of our workforce. As a result, while we have undertaken efforts to retain our current employees, we may experience challenges in doing so.</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conduct our business will be limited.</w:t>
      </w:r>
    </w:p>
    <w:p>
      <w:pPr>
        <w:spacing w:after="0" w:line="18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60"/>
        <w:spacing w:after="0" w:line="254" w:lineRule="auto"/>
        <w:rPr>
          <w:sz w:val="20"/>
          <w:szCs w:val="20"/>
          <w:color w:val="auto"/>
        </w:rPr>
      </w:pPr>
      <w:r>
        <w:rPr>
          <w:rFonts w:ascii="Arial" w:cs="Arial" w:eastAsia="Arial" w:hAnsi="Arial"/>
          <w:sz w:val="18"/>
          <w:szCs w:val="18"/>
          <w:color w:val="auto"/>
        </w:rPr>
        <w:t>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razuprotafib,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ind w:right="200"/>
        <w:spacing w:after="0" w:line="291" w:lineRule="auto"/>
        <w:rPr>
          <w:sz w:val="20"/>
          <w:szCs w:val="20"/>
          <w:color w:val="auto"/>
        </w:rPr>
      </w:pPr>
      <w:r>
        <w:rPr>
          <w:rFonts w:ascii="Arial" w:cs="Arial" w:eastAsia="Arial" w:hAnsi="Arial"/>
          <w:sz w:val="16"/>
          <w:szCs w:val="16"/>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w:t>
      </w:r>
    </w:p>
    <w:p>
      <w:pPr>
        <w:ind w:right="20"/>
        <w:spacing w:after="0" w:line="253" w:lineRule="auto"/>
        <w:rPr>
          <w:sz w:val="20"/>
          <w:szCs w:val="20"/>
          <w:color w:val="auto"/>
        </w:rPr>
      </w:pPr>
      <w:r>
        <w:rPr>
          <w:rFonts w:ascii="Arial" w:cs="Arial" w:eastAsia="Arial" w:hAnsi="Arial"/>
          <w:sz w:val="18"/>
          <w:szCs w:val="18"/>
          <w:color w:val="auto"/>
        </w:rPr>
        <w:t>$10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9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if we sustain cyber-attacks or other privacy or data security incidents that result in security breaches.</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 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arising from the results of the public referendum held in United Kingdom and its membership in the European Union.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However, the terms of the withdrawal have yet to be fully negotiated. The implementation period began February 1, 2020 and will continue until December 31, 2020. During this 11-month period, the United Kingdom will continue to follow all of the European Union’s rules, the European Union’s pharmaceutical law remains applicable to the United Kingdom and the United Kingdom’s trading relationship will remain the same. However, regulations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340"/>
        <w:spacing w:after="0" w:line="301" w:lineRule="auto"/>
        <w:rPr>
          <w:sz w:val="20"/>
          <w:szCs w:val="20"/>
          <w:color w:val="auto"/>
        </w:rPr>
      </w:pPr>
      <w:r>
        <w:rPr>
          <w:rFonts w:ascii="Arial" w:cs="Arial" w:eastAsia="Arial" w:hAnsi="Arial"/>
          <w:sz w:val="16"/>
          <w:szCs w:val="16"/>
          <w:color w:val="auto"/>
        </w:rPr>
        <w:t>(including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United Kingdom laws and regulations and their interaction with the European Union laws and regulations may negatively impact foreign direct investment in the United Kingdom, increase costs, depress economic activity and restrict access to capital.</w:t>
      </w:r>
    </w:p>
    <w:p>
      <w:pPr>
        <w:spacing w:after="0" w:line="4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United Kingdom financial and banking markets, as well as on the regulatory process in Europe. Asset valuations, currency exchange rates and credit ratings may also be subject to increased market volatility.</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United Kingdom and the European Union are unable to negotiate acceptable agreements or if other European Union Member States pursue withdrawal, barrier-free access between the United Kingdom and other European Union Member States or among the European Economic Area overall could be diminished or eliminated. The long-term effects of Brexit will depend on any agreements (or lack thereof) between the United Kingdom and the European Union and, in particular, any arrangements for the United Kingdom to retain access to European Union markets either during a transitional period or more permanently.</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our relationships with existing and potential suppliers, manufacturers and other third parties.</w:t>
      </w:r>
    </w:p>
    <w:p>
      <w:pPr>
        <w:spacing w:after="0" w:line="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the United Kingdom’s withdrawal from the European Union, the United Kingdom could lose the benefits of global trade agreements negotiated by the European Union on behalf of its members, which may result in increased trade barriers that could make our doing business in the European Union or European Economic Area more difficult. In addition, the measures could potentially have corporate structural consequences, adversely change tax benefits or liabilities in these or other jurisdictions and could disrupt some of the markets and jurisdictions in which we operate. Any of these effects of Brexit, among others, could materially adversely affect the business, business opportunities, and financial condition of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460"/>
        <w:spacing w:after="0" w:line="375" w:lineRule="auto"/>
        <w:rPr>
          <w:sz w:val="20"/>
          <w:szCs w:val="20"/>
          <w:color w:val="auto"/>
        </w:rPr>
      </w:pPr>
      <w:r>
        <w:rPr>
          <w:rFonts w:ascii="Arial" w:cs="Arial" w:eastAsia="Arial" w:hAnsi="Arial"/>
          <w:sz w:val="15"/>
          <w:szCs w:val="15"/>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6" w:lineRule="exact"/>
        <w:rPr>
          <w:sz w:val="20"/>
          <w:szCs w:val="20"/>
          <w:color w:val="auto"/>
        </w:rPr>
      </w:pPr>
    </w:p>
    <w:p>
      <w:pPr>
        <w:ind w:left="880" w:right="240" w:hanging="373"/>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regarding the assessment of our internal control over financial reporting;</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right="18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180"/>
        <w:spacing w:after="0" w:line="277" w:lineRule="auto"/>
        <w:rPr>
          <w:sz w:val="20"/>
          <w:szCs w:val="20"/>
          <w:color w:val="auto"/>
        </w:rPr>
      </w:pPr>
      <w:r>
        <w:rPr>
          <w:rFonts w:ascii="Arial" w:cs="Arial" w:eastAsia="Arial" w:hAnsi="Arial"/>
          <w:sz w:val="18"/>
          <w:szCs w:val="18"/>
          <w:color w:val="auto"/>
        </w:rPr>
        <w:t>not to avail ourselves of this exemption and, therefore, we will be subject to the same new or revised accounting standards as other public companies that are not emerging growth companies.</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could be an emerging growth company for up to five years following the date of completion of our initial public offering,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market price of our common stock is likely to be volatile. Since our common stock became listed on Nasdaq Capital Market on June 26, 2018, the trading price of our common stock has ranged from $0.42 to $4.35 per share. The market price of our common stock may continue to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may continue to be subject to wide fluctuations in response to many risk factors listed in this section, and others beyond our control, including:</w:t>
      </w:r>
    </w:p>
    <w:p>
      <w:pPr>
        <w:spacing w:after="0" w:line="57"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maintain compliance with Nasdaq Capital Market listing standards, including maintenance of at least $2.5 million of stockholders’ equity and maintenance of a $1.00 minimum bid price, our common stock may be delisted from the Nasdaq Capital Market and you may face significant restrictions on the resale of your shares due to state “blue sky” laws.</w:t>
      </w:r>
    </w:p>
    <w:p>
      <w:pPr>
        <w:spacing w:after="0" w:line="8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There can be no assurances that we will be able to maintain our Nasdaq Capital Market listing in the future. On July 24, 2019, we were notified by Nasdaq Stock Market, LLC (“Nasdaq”)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To regain compliance, the bid price of our common stock must have a closing bid price of at least $1.00 per share for a minimum of 10 consecutive business days. In June 2020, we were notified by Nasdaq that the closing bid price of our common stock was maintained for a minimum of 10 consecutive business days and, therefore, we regained compliance with the minimum bid price requirement. However, there can be no assurance that we will not encounter challenges with maintaining compliance with Nasdaq Capital Market listing standards in the future.</w:t>
      </w:r>
    </w:p>
    <w:p>
      <w:pPr>
        <w:spacing w:after="0" w:line="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the event we are unable to maintain compliance with the Nasdaq Capital Market listing standards and our common stock is delisted from the Nasdaq Capital Market, it would, among other things, likely lead to a number of negative implications, including an adverse effect on the price of our common stock, reduced liquidity in our common stock, the loss of federal preemption of state securities laws and greater difficulty in obtaining financing. In the event of a de-listing, we would take actions to restore our compliance with Nasdaq’s listing requirements, but we can provide no assurance that any such action taken by us would allow our common stock to become listed again, stabilize the market price or improve the liquidity of our common stock, prevent our common stock from dropping below the Nasdaq Capital Market minimum bid price requirement in the future, or prevent future non-compliance with Nasdaq’s listing requirements. If we cannot restore our compliance with Nasdaq’s listing requirements, we would pursue eligibility for trading of these securities on other markets or exchanges, such as the OTCQB or OTCQX, which are unorganized, inter-dealer, over-the-counter markets which provides significantly less liquidity than the Nasdaq Capital Market or other national securities exchanges.</w:t>
      </w:r>
    </w:p>
    <w:p>
      <w:pPr>
        <w:spacing w:after="0" w:line="8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Furthermore, each state has its own securities laws, often called “blue sky” laws, which (1) limit sales of securities to a state’s residents unless the securities are registered in that state or qualify for an exemption from registration, and (2) govern the reporting requirements for broker-dealers doing business directly or indirectly in the state. Before a security is sold in a state, there must be a registration in place to cover the transaction, or it must be exempt from registration. The applicable broker-dealer must also be registered in that state. If we fail to maintain our Nasdaq Capital Market listing, then we may not be considered to be on a national exchange and do not know whether our securities will be registered or exempt from registration under the laws of any state.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determination regarding registration will be made by those broker-dealers, if any, who agree to serve as market makers for our common stock. There may be significant state blue sky law restrictions on the ability of investors to sell, and on purchasers to buy, our securities. You should therefore consider the resale market for our common stock to be limited, as you may be unable to resell your shares without the significant expense of state registration or qualification.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2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June 30, 2020, our executive officers, directors and principal stockholders, together with their respective affiliates, owned approximately 37.3%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currently intend to use our cash and cash equivalents for continuing clinical development of razuprotafib in ocular and other indications, early research on antibody therapies that inhibit VE-PTP,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right="800"/>
        <w:spacing w:after="0" w:line="277" w:lineRule="auto"/>
        <w:rPr>
          <w:sz w:val="20"/>
          <w:szCs w:val="20"/>
          <w:color w:val="auto"/>
        </w:rPr>
      </w:pPr>
      <w:r>
        <w:rPr>
          <w:rFonts w:ascii="Arial" w:cs="Arial" w:eastAsia="Arial" w:hAnsi="Arial"/>
          <w:sz w:val="18"/>
          <w:szCs w:val="18"/>
          <w:b w:val="1"/>
          <w:bCs w:val="1"/>
          <w:i w:val="1"/>
          <w:iCs w:val="1"/>
          <w:color w:val="auto"/>
        </w:rPr>
        <w:t>As a result of becoming a public company, we are incurring increased costs and our management devotes substantial time to public company compliance programs.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5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187"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ind w:left="880" w:right="460" w:hanging="373"/>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 create a classified Board of Directors whose members serve staggered three-year terms;</w:t>
      </w:r>
    </w:p>
    <w:p>
      <w:pPr>
        <w:spacing w:after="0" w:line="75"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880" w:right="220" w:hanging="373"/>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880" w:right="240" w:hanging="373"/>
        <w:spacing w:after="0" w:line="263"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general, under Section 382 of the Internal Revenue Code of 1986, as amended (“the Code”) a corporation that undergoes an “ownership change” is subject to limitations on its ability to utilize its pre-change net operating losses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0" w:name="page61"/>
    <w:bookmarkEnd w:id="60"/>
    <w:p>
      <w:pPr>
        <w:ind w:right="60"/>
        <w:spacing w:after="0" w:line="263" w:lineRule="auto"/>
        <w:rPr>
          <w:sz w:val="20"/>
          <w:szCs w:val="20"/>
          <w:color w:val="auto"/>
        </w:rPr>
      </w:pPr>
      <w:r>
        <w:rPr>
          <w:rFonts w:ascii="Arial" w:cs="Arial" w:eastAsia="Arial" w:hAnsi="Arial"/>
          <w:sz w:val="18"/>
          <w:szCs w:val="18"/>
          <w:color w:val="auto"/>
        </w:rPr>
        <w:t>made and changes are likely to continue to occur in the future.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7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1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common stock has been listed on The Nasdaq Capital Market since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 on Form 10-Q.</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9200" w:type="dxa"/>
            <w:vAlign w:val="bottom"/>
            <w:gridSpan w:val="7"/>
            <w:vMerge w:val="restart"/>
          </w:tcPr>
          <w:p>
            <w:pPr>
              <w:ind w:left="3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92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tcBorders>
              <w:top w:val="single" w:sz="8" w:color="auto"/>
            </w:tcBorders>
            <w:gridSpan w:val="8"/>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Amendment No. 1 to License Agreement, dated May 11, 2020, by and between the Registrant and GB004, Inc. (incorporated by reference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to Exhibit 10.1 of the Registrant’s Current Report on Form 8-K (File No. 001-38560) filed on May 12, 2020).</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65">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Act of 2002.</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0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confidential portions of this exhibit (indicated by brackets and asterisks) have been omitted from this exhibit.</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50" w:lineRule="exact"/>
        <w:rPr>
          <w:sz w:val="20"/>
          <w:szCs w:val="20"/>
          <w:color w:val="auto"/>
        </w:rPr>
      </w:pPr>
    </w:p>
    <w:p>
      <w:pPr>
        <w:ind w:left="500" w:right="14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060" w:type="dxa"/>
            <w:vAlign w:val="bottom"/>
            <w:gridSpan w:val="2"/>
          </w:tcPr>
          <w:p>
            <w:pPr>
              <w:ind w:left="2520"/>
              <w:spacing w:after="0"/>
              <w:rPr>
                <w:sz w:val="20"/>
                <w:szCs w:val="20"/>
                <w:color w:val="auto"/>
              </w:rPr>
            </w:pPr>
            <w:r>
              <w:rPr>
                <w:rFonts w:ascii="Arial" w:cs="Arial" w:eastAsia="Arial" w:hAnsi="Arial"/>
                <w:sz w:val="18"/>
                <w:szCs w:val="18"/>
                <w:color w:val="auto"/>
              </w:rPr>
              <w:t>AERPIO PHARMACEUTICALS, INC.</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August 12, 2020</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Joseph Gardner, Ph.D.</w:t>
            </w:r>
          </w:p>
        </w:tc>
      </w:tr>
      <w:tr>
        <w:trPr>
          <w:trHeight w:val="218"/>
        </w:trPr>
        <w:tc>
          <w:tcPr>
            <w:tcW w:w="4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Joseph Gardner, Ph.D.</w:t>
            </w:r>
          </w:p>
        </w:tc>
      </w:tr>
      <w:tr>
        <w:trPr>
          <w:trHeight w:val="220"/>
        </w:trPr>
        <w:tc>
          <w:tcPr>
            <w:tcW w:w="4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President</w:t>
            </w:r>
          </w:p>
        </w:tc>
      </w:tr>
      <w:tr>
        <w:trPr>
          <w:trHeight w:val="230"/>
        </w:trPr>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August 12, 2020</w:t>
            </w:r>
          </w:p>
        </w:tc>
        <w:tc>
          <w:tcPr>
            <w:tcW w:w="2800" w:type="dxa"/>
            <w:vAlign w:val="bottom"/>
          </w:tcPr>
          <w:p>
            <w:pPr>
              <w:ind w:left="2520"/>
              <w:spacing w:after="0"/>
              <w:rPr>
                <w:sz w:val="20"/>
                <w:szCs w:val="20"/>
                <w:color w:val="auto"/>
              </w:rPr>
            </w:pPr>
            <w:r>
              <w:rPr>
                <w:rFonts w:ascii="Arial" w:cs="Arial" w:eastAsia="Arial" w:hAnsi="Arial"/>
                <w:sz w:val="18"/>
                <w:szCs w:val="18"/>
                <w:color w:val="auto"/>
                <w:w w:val="99"/>
              </w:rPr>
              <w:t>By:</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Regina Marek</w:t>
            </w:r>
          </w:p>
        </w:tc>
      </w:tr>
      <w:tr>
        <w:trPr>
          <w:trHeight w:val="218"/>
        </w:trPr>
        <w:tc>
          <w:tcPr>
            <w:tcW w:w="4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5"/>
              </w:rPr>
              <w:t>Regina Marek</w:t>
            </w:r>
          </w:p>
        </w:tc>
      </w:tr>
      <w:tr>
        <w:trPr>
          <w:trHeight w:val="234"/>
        </w:trPr>
        <w:tc>
          <w:tcPr>
            <w:tcW w:w="4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Vice President Finance</w:t>
            </w:r>
          </w:p>
        </w:tc>
      </w:tr>
    </w:tbl>
    <w:p>
      <w:pPr>
        <w:ind w:left="710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Gardner,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Regina Marek, certify that:</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ended June 30, 2020 as filed with the Securities and Exchange Commission on the date hereof (the “Report”), I, Joseph Gardner, President of the Company, certify, pursuant to 18 U.S.C. § 1350, as adopted pursuant to § 906 of the Sarbanes-Oxley Act of 2002, that to my knowledge:</w:t>
      </w:r>
    </w:p>
    <w:p>
      <w:pPr>
        <w:spacing w:after="0" w:line="76"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740" w:val="left"/>
          <w:tab w:leader="none" w:pos="82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Gardner,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Joseph Gardner, Ph.D.</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color w:val="auto"/>
        </w:rPr>
        <w:t>In connection with the Quarterly Report of Aerpio Pharmaceuticals, Inc., (the “Company”) on Form 10-Q for the period ended June 30, 2020 as filed with the Securities and Exchange Commission on the date hereof (the “Report”), I, Regina Marek, Vice President Finance of the Company, certify, pursuant to 18 U.S.C. § 1350, as adopted pursuant to § 906 of the Sarbanes-Oxley Act of 2002, that to my knowledge:</w:t>
      </w:r>
    </w:p>
    <w:p>
      <w:pPr>
        <w:spacing w:after="0" w:line="57"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6740" w:val="left"/>
          <w:tab w:leader="none" w:pos="85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Regina Marek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Regina Marek</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Vice President Finance</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upperLetter"/>
      <w:start w:val="35"/>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0" Type="http://schemas.openxmlformats.org/officeDocument/2006/relationships/hyperlink" Target="http://www.sec.gov/Archives/edgar/data/0001422142/000119312520140527/d9267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2020-08-12T07:50:36Z</dcterms:created>
  <dcterms:modified xsi:type="dcterms:W3CDTF">2020-08-12T07:50:36Z</dcterms:modified>
</cp:coreProperties>
</file>