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10953.xml.htm"/>
      <w:bookmarkStart w:id="1" w:name="ksform409152026_1109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Lennon David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twenty five percent (25%) of the shares subject to the award shall vest on the one-year anniversary of the Vesting Commencement Date, and twenty five percent (25%) of the shares subject to the award shall vest on each of the next three Vesting Commencement Date anniversaries thereafter.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275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784</Words>
  <Characters>4264</Characters>
  <CharactersWithSpaces>4962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