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580" w:hanging="3812"/>
        <w:spacing w:after="0" w:line="344" w:lineRule="auto"/>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3060" w:right="1580" w:hanging="3052"/>
        <w:spacing w:after="0" w:line="328" w:lineRule="auto"/>
        <w:tabs>
          <w:tab w:leader="none" w:pos="49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-464185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Aerpio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5"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886"/>
              <w:spacing w:after="0"/>
              <w:rPr>
                <w:sz w:val="20"/>
                <w:szCs w:val="20"/>
                <w:color w:val="auto"/>
              </w:rPr>
            </w:pPr>
            <w:r>
              <w:rPr>
                <w:rFonts w:ascii="Arial" w:cs="Arial" w:eastAsia="Arial" w:hAnsi="Arial"/>
                <w:sz w:val="18"/>
                <w:szCs w:val="18"/>
                <w:b w:val="1"/>
                <w:bCs w:val="1"/>
                <w:color w:val="auto"/>
                <w:w w:val="93"/>
              </w:rPr>
              <w:t>EIN 61-1547850</w:t>
            </w:r>
          </w:p>
        </w:tc>
      </w:tr>
      <w:tr>
        <w:trPr>
          <w:trHeight w:val="135"/>
        </w:trPr>
        <w:tc>
          <w:tcPr>
            <w:tcW w:w="4020" w:type="dxa"/>
            <w:vAlign w:val="bottom"/>
          </w:tcPr>
          <w:p>
            <w:pPr>
              <w:jc w:val="center"/>
              <w:ind w:right="186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180" w:type="dxa"/>
            <w:vAlign w:val="bottom"/>
          </w:tcPr>
          <w:p>
            <w:pPr>
              <w:jc w:val="center"/>
              <w:ind w:left="18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020" w:type="dxa"/>
            <w:vAlign w:val="bottom"/>
          </w:tcPr>
          <w:p>
            <w:pPr>
              <w:jc w:val="center"/>
              <w:ind w:right="18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180" w:type="dxa"/>
            <w:vAlign w:val="bottom"/>
          </w:tcPr>
          <w:p>
            <w:pPr>
              <w:jc w:val="center"/>
              <w:ind w:left="188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0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2"/>
              </w:rPr>
              <w:t>9987 Carver Road</w:t>
            </w:r>
          </w:p>
        </w:tc>
        <w:tc>
          <w:tcPr>
            <w:tcW w:w="3180" w:type="dxa"/>
            <w:vAlign w:val="bottom"/>
          </w:tcPr>
          <w:p>
            <w:pPr>
              <w:spacing w:after="0"/>
              <w:rPr>
                <w:sz w:val="18"/>
                <w:szCs w:val="18"/>
                <w:color w:val="auto"/>
              </w:rPr>
            </w:pPr>
          </w:p>
        </w:tc>
      </w:tr>
      <w:tr>
        <w:trPr>
          <w:trHeight w:val="216"/>
        </w:trPr>
        <w:tc>
          <w:tcPr>
            <w:tcW w:w="4020" w:type="dxa"/>
            <w:vAlign w:val="bottom"/>
          </w:tcPr>
          <w:p>
            <w:pPr>
              <w:jc w:val="center"/>
              <w:ind w:right="1844"/>
              <w:spacing w:after="0"/>
              <w:rPr>
                <w:sz w:val="20"/>
                <w:szCs w:val="20"/>
                <w:color w:val="auto"/>
              </w:rPr>
            </w:pPr>
            <w:r>
              <w:rPr>
                <w:rFonts w:ascii="Arial" w:cs="Arial" w:eastAsia="Arial" w:hAnsi="Arial"/>
                <w:sz w:val="18"/>
                <w:szCs w:val="18"/>
                <w:b w:val="1"/>
                <w:bCs w:val="1"/>
                <w:color w:val="auto"/>
                <w:w w:val="95"/>
              </w:rPr>
              <w:t>Cincinnati, OH</w:t>
            </w:r>
          </w:p>
        </w:tc>
        <w:tc>
          <w:tcPr>
            <w:tcW w:w="3180" w:type="dxa"/>
            <w:vAlign w:val="bottom"/>
          </w:tcPr>
          <w:p>
            <w:pPr>
              <w:jc w:val="center"/>
              <w:ind w:left="1886"/>
              <w:spacing w:after="0"/>
              <w:rPr>
                <w:sz w:val="20"/>
                <w:szCs w:val="20"/>
                <w:color w:val="auto"/>
              </w:rPr>
            </w:pPr>
            <w:r>
              <w:rPr>
                <w:rFonts w:ascii="Arial" w:cs="Arial" w:eastAsia="Arial" w:hAnsi="Arial"/>
                <w:sz w:val="18"/>
                <w:szCs w:val="18"/>
                <w:b w:val="1"/>
                <w:bCs w:val="1"/>
                <w:color w:val="auto"/>
                <w:w w:val="91"/>
              </w:rPr>
              <w:t>45242</w:t>
            </w:r>
          </w:p>
        </w:tc>
      </w:tr>
      <w:tr>
        <w:trPr>
          <w:trHeight w:val="164"/>
        </w:trPr>
        <w:tc>
          <w:tcPr>
            <w:tcW w:w="40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180" w:type="dxa"/>
            <w:vAlign w:val="bottom"/>
          </w:tcPr>
          <w:p>
            <w:pPr>
              <w:jc w:val="center"/>
              <w:ind w:left="188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(513) 985-1920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ARPO</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Capital Market</w:t>
            </w:r>
          </w:p>
        </w:tc>
      </w:tr>
    </w:tbl>
    <w:p>
      <w:pPr>
        <w:spacing w:after="0" w:line="71"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28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7"/>
        </w:trPr>
        <w:tc>
          <w:tcPr>
            <w:tcW w:w="17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6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63" w:lineRule="exact"/>
        <w:rPr>
          <w:sz w:val="24"/>
          <w:szCs w:val="24"/>
          <w:color w:val="auto"/>
        </w:rPr>
      </w:pPr>
    </w:p>
    <w:p>
      <w:pPr>
        <w:jc w:val="both"/>
        <w:ind w:right="6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216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6, 2020, the registrant had 40,588,004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9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820" w:type="dxa"/>
            <w:vAlign w:val="bottom"/>
            <w:gridSpan w:val="3"/>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4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w:t>
              </w:r>
            </w:hyperlink>
          </w:p>
        </w:tc>
        <w:tc>
          <w:tcPr>
            <w:tcW w:w="4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r>
      <w:tr>
        <w:trPr>
          <w:trHeight w:val="229"/>
        </w:trPr>
        <w:tc>
          <w:tcPr>
            <w:tcW w:w="920" w:type="dxa"/>
            <w:vAlign w:val="bottom"/>
          </w:tcPr>
          <w:p>
            <w:pPr>
              <w:spacing w:after="0"/>
              <w:rPr>
                <w:sz w:val="19"/>
                <w:szCs w:val="19"/>
                <w:color w:val="auto"/>
              </w:rPr>
            </w:pPr>
          </w:p>
        </w:tc>
        <w:tc>
          <w:tcPr>
            <w:tcW w:w="98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 March 31, 2020 (Unaudited) and December 31, 2019</w:t>
              </w:r>
            </w:hyperlink>
          </w:p>
        </w:tc>
        <w:tc>
          <w:tcPr>
            <w:tcW w:w="4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r>
      <w:tr>
        <w:trPr>
          <w:trHeight w:val="190"/>
        </w:trPr>
        <w:tc>
          <w:tcPr>
            <w:tcW w:w="920" w:type="dxa"/>
            <w:vAlign w:val="bottom"/>
          </w:tcPr>
          <w:p>
            <w:pPr>
              <w:spacing w:after="0"/>
              <w:rPr>
                <w:sz w:val="16"/>
                <w:szCs w:val="16"/>
                <w:color w:val="auto"/>
              </w:rPr>
            </w:pPr>
          </w:p>
        </w:tc>
        <w:tc>
          <w:tcPr>
            <w:tcW w:w="9820" w:type="dxa"/>
            <w:vAlign w:val="bottom"/>
            <w:gridSpan w:val="3"/>
          </w:tcPr>
          <w:p>
            <w:pPr>
              <w:spacing w:after="0" w:line="190"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Operations and Comprehensive Loss – Three Months Ended March 31, 2020 and 2019</w:t>
              </w:r>
            </w:hyperlink>
          </w:p>
        </w:tc>
        <w:tc>
          <w:tcPr>
            <w:tcW w:w="460" w:type="dxa"/>
            <w:vAlign w:val="bottom"/>
          </w:tcPr>
          <w:p>
            <w:pPr>
              <w:spacing w:after="0"/>
              <w:rPr>
                <w:sz w:val="16"/>
                <w:szCs w:val="16"/>
                <w:color w:val="auto"/>
              </w:rPr>
            </w:pPr>
          </w:p>
        </w:tc>
      </w:tr>
      <w:tr>
        <w:trPr>
          <w:trHeight w:val="196"/>
        </w:trPr>
        <w:tc>
          <w:tcPr>
            <w:tcW w:w="92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w:t>
              </w:r>
            </w:hyperlink>
          </w:p>
        </w:tc>
        <w:tc>
          <w:tcPr>
            <w:tcW w:w="824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jc w:val="right"/>
              <w:spacing w:after="0" w:line="196"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49"/>
        </w:trPr>
        <w:tc>
          <w:tcPr>
            <w:tcW w:w="920" w:type="dxa"/>
            <w:vAlign w:val="bottom"/>
          </w:tcPr>
          <w:p>
            <w:pPr>
              <w:spacing w:after="0"/>
              <w:rPr>
                <w:sz w:val="21"/>
                <w:szCs w:val="21"/>
                <w:color w:val="auto"/>
              </w:rPr>
            </w:pPr>
          </w:p>
        </w:tc>
        <w:tc>
          <w:tcPr>
            <w:tcW w:w="982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Stockholders’ Equity –Three Months Ended March 31, 2020 and 2019 (Unaudited)</w:t>
              </w:r>
            </w:hyperlink>
          </w:p>
        </w:tc>
        <w:tc>
          <w:tcPr>
            <w:tcW w:w="4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229"/>
        </w:trPr>
        <w:tc>
          <w:tcPr>
            <w:tcW w:w="920" w:type="dxa"/>
            <w:vAlign w:val="bottom"/>
          </w:tcPr>
          <w:p>
            <w:pPr>
              <w:spacing w:after="0"/>
              <w:rPr>
                <w:sz w:val="19"/>
                <w:szCs w:val="19"/>
                <w:color w:val="auto"/>
              </w:rPr>
            </w:pPr>
          </w:p>
        </w:tc>
        <w:tc>
          <w:tcPr>
            <w:tcW w:w="982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–Three Months Ended March 31, 2020 and 2019 (Unaudited)</w:t>
              </w:r>
            </w:hyperlink>
          </w:p>
        </w:tc>
        <w:tc>
          <w:tcPr>
            <w:tcW w:w="4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r>
      <w:tr>
        <w:trPr>
          <w:trHeight w:val="230"/>
        </w:trPr>
        <w:tc>
          <w:tcPr>
            <w:tcW w:w="920" w:type="dxa"/>
            <w:vAlign w:val="bottom"/>
          </w:tcPr>
          <w:p>
            <w:pPr>
              <w:spacing w:after="0"/>
              <w:rPr>
                <w:sz w:val="19"/>
                <w:szCs w:val="19"/>
                <w:color w:val="auto"/>
              </w:rPr>
            </w:pPr>
          </w:p>
        </w:tc>
        <w:tc>
          <w:tcPr>
            <w:tcW w:w="982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 (Unaudited)</w:t>
              </w:r>
            </w:hyperlink>
          </w:p>
        </w:tc>
        <w:tc>
          <w:tcPr>
            <w:tcW w:w="4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46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18</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46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23</w:t>
              </w:r>
            </w:hyperlink>
          </w:p>
        </w:tc>
      </w:tr>
      <w:tr>
        <w:trPr>
          <w:trHeight w:val="226"/>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46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23</w:t>
              </w:r>
            </w:hyperlink>
          </w:p>
        </w:tc>
      </w:tr>
      <w:tr>
        <w:trPr>
          <w:trHeight w:val="233"/>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20" w:type="dxa"/>
            <w:vAlign w:val="bottom"/>
            <w:gridSpan w:val="3"/>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OTHER INFORMATION</w:t>
              </w:r>
            </w:hyperlink>
          </w:p>
        </w:tc>
        <w:tc>
          <w:tcPr>
            <w:tcW w:w="46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25</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3"/>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46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25</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820" w:type="dxa"/>
            <w:vAlign w:val="bottom"/>
            <w:gridSpan w:val="3"/>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46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25</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Unregistered Sales of Equity Securities and Use of Proceeds</w:t>
              </w:r>
            </w:hyperlink>
          </w:p>
        </w:tc>
        <w:tc>
          <w:tcPr>
            <w:tcW w:w="46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55</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Defaults Upon Senior Securities</w:t>
              </w:r>
            </w:hyperlink>
          </w:p>
        </w:tc>
        <w:tc>
          <w:tcPr>
            <w:tcW w:w="46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55</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Mine Safety Disclosures</w:t>
              </w:r>
            </w:hyperlink>
          </w:p>
        </w:tc>
        <w:tc>
          <w:tcPr>
            <w:tcW w:w="46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55</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82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Other Information</w:t>
              </w:r>
            </w:hyperlink>
          </w:p>
        </w:tc>
        <w:tc>
          <w:tcPr>
            <w:tcW w:w="46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55</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3"/>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Exhibits</w:t>
              </w:r>
            </w:hyperlink>
          </w:p>
        </w:tc>
        <w:tc>
          <w:tcPr>
            <w:tcW w:w="46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56</w:t>
              </w:r>
            </w:hyperlink>
          </w:p>
        </w:tc>
      </w:tr>
      <w:tr>
        <w:trPr>
          <w:trHeight w:val="230"/>
        </w:trPr>
        <w:tc>
          <w:tcPr>
            <w:tcW w:w="92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Signatures</w:t>
              </w:r>
            </w:hyperlink>
          </w:p>
        </w:tc>
        <w:tc>
          <w:tcPr>
            <w:tcW w:w="88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57</w:t>
              </w:r>
            </w:hyperlink>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53"/>
              <w:spacing w:after="0" w:line="155" w:lineRule="exact"/>
              <w:rPr>
                <w:sz w:val="20"/>
                <w:szCs w:val="20"/>
                <w:color w:val="auto"/>
              </w:rPr>
            </w:pPr>
            <w:r>
              <w:rPr>
                <w:rFonts w:ascii="Arial" w:cs="Arial" w:eastAsia="Arial" w:hAnsi="Arial"/>
                <w:sz w:val="14"/>
                <w:szCs w:val="14"/>
                <w:b w:val="1"/>
                <w:bCs w:val="1"/>
                <w:i w:val="1"/>
                <w:iCs w:val="1"/>
                <w:color w:val="auto"/>
                <w:w w:val="89"/>
              </w:rPr>
              <w:t>(unaudited)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34,584,710</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38,524,536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Prepaid research and development contracts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228,662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578,845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35,392,217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39,570,475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149,085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138,820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35,700,122</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39,936,786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2,547,723</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operating lease liability</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106,734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2,654,457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39,171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2,693,628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tcPr>
          <w:p>
            <w:pPr>
              <w:ind w:left="260"/>
              <w:spacing w:after="0"/>
              <w:rPr>
                <w:sz w:val="20"/>
                <w:szCs w:val="20"/>
                <w:color w:val="auto"/>
              </w:rPr>
            </w:pPr>
            <w:r>
              <w:rPr>
                <w:rFonts w:ascii="Arial" w:cs="Arial" w:eastAsia="Arial" w:hAnsi="Arial"/>
                <w:sz w:val="18"/>
                <w:szCs w:val="18"/>
                <w:color w:val="auto"/>
              </w:rPr>
              <w:t>Common stock, $0.0001 par value per share; 300,000,000 shares authorized and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40,588,004 shares issued and outstanding at March 31, 2020 and</w:t>
            </w:r>
          </w:p>
        </w:tc>
        <w:tc>
          <w:tcPr>
            <w:tcW w:w="22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December 31, 2019.</w:t>
            </w:r>
          </w:p>
        </w:tc>
        <w:tc>
          <w:tcPr>
            <w:tcW w:w="2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179,156,620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178,766,806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(146,154,185)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(142,235,522)</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33,006,494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36,535,343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35,700,122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39,936,786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7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6"/>
        </w:trPr>
        <w:tc>
          <w:tcPr>
            <w:tcW w:w="7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4"/>
          </w:tcPr>
          <w:p>
            <w:pPr>
              <w:jc w:val="right"/>
              <w:ind w:right="110"/>
              <w:spacing w:after="0" w:line="155" w:lineRule="exact"/>
              <w:rPr>
                <w:sz w:val="20"/>
                <w:szCs w:val="20"/>
                <w:color w:val="auto"/>
              </w:rPr>
            </w:pPr>
            <w:r>
              <w:rPr>
                <w:rFonts w:ascii="Arial" w:cs="Arial" w:eastAsia="Arial" w:hAnsi="Arial"/>
                <w:sz w:val="14"/>
                <w:szCs w:val="14"/>
                <w:i w:val="1"/>
                <w:iCs w:val="1"/>
                <w:color w:val="auto"/>
              </w:rPr>
              <w:t>(unaudited)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1,829,042</w:t>
            </w:r>
          </w:p>
        </w:tc>
        <w:tc>
          <w:tcPr>
            <w:tcW w:w="180" w:type="dxa"/>
            <w:vAlign w:val="bottom"/>
          </w:tcPr>
          <w:p>
            <w:pPr>
              <w:spacing w:after="0"/>
              <w:rPr>
                <w:sz w:val="19"/>
                <w:szCs w:val="19"/>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5,586,251</w:t>
            </w:r>
          </w:p>
        </w:tc>
        <w:tc>
          <w:tcPr>
            <w:tcW w:w="100" w:type="dxa"/>
            <w:vAlign w:val="bottom"/>
          </w:tcPr>
          <w:p>
            <w:pPr>
              <w:spacing w:after="0"/>
              <w:rPr>
                <w:sz w:val="19"/>
                <w:szCs w:val="19"/>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2,285,891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3,255,042</w:t>
            </w:r>
          </w:p>
        </w:tc>
        <w:tc>
          <w:tcPr>
            <w:tcW w:w="100" w:type="dxa"/>
            <w:vAlign w:val="bottom"/>
            <w:shd w:val="clear" w:color="auto" w:fill="CFF0FC"/>
          </w:tcPr>
          <w:p>
            <w:pPr>
              <w:spacing w:after="0"/>
              <w:rPr>
                <w:sz w:val="19"/>
                <w:szCs w:val="19"/>
                <w:color w:val="auto"/>
              </w:rPr>
            </w:pP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4,114,933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8,841,293</w:t>
            </w:r>
          </w:p>
        </w:tc>
        <w:tc>
          <w:tcPr>
            <w:tcW w:w="100" w:type="dxa"/>
            <w:vAlign w:val="bottom"/>
            <w:tcBorders>
              <w:bottom w:val="single" w:sz="8" w:color="CFF0FC"/>
            </w:tcBorders>
          </w:tcPr>
          <w:p>
            <w:pPr>
              <w:spacing w:after="0"/>
              <w:rPr>
                <w:sz w:val="19"/>
                <w:szCs w:val="19"/>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(4,114,933)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(8,841,293)</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Grant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79,900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15,348</w:t>
            </w:r>
          </w:p>
        </w:tc>
        <w:tc>
          <w:tcPr>
            <w:tcW w:w="100" w:type="dxa"/>
            <w:vAlign w:val="bottom"/>
          </w:tcPr>
          <w:p>
            <w:pPr>
              <w:spacing w:after="0"/>
              <w:rPr>
                <w:sz w:val="19"/>
                <w:szCs w:val="19"/>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116,370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333,120</w:t>
            </w:r>
          </w:p>
        </w:tc>
        <w:tc>
          <w:tcPr>
            <w:tcW w:w="100" w:type="dxa"/>
            <w:vAlign w:val="bottom"/>
            <w:shd w:val="clear" w:color="auto" w:fill="CFF0FC"/>
          </w:tcPr>
          <w:p>
            <w:pPr>
              <w:spacing w:after="0"/>
              <w:rPr>
                <w:sz w:val="19"/>
                <w:szCs w:val="19"/>
                <w:color w:val="auto"/>
              </w:rPr>
            </w:pP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196,270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348,468</w:t>
            </w:r>
          </w:p>
        </w:tc>
        <w:tc>
          <w:tcPr>
            <w:tcW w:w="100" w:type="dxa"/>
            <w:vAlign w:val="bottom"/>
            <w:tcBorders>
              <w:bottom w:val="single" w:sz="8" w:color="CFF0FC"/>
            </w:tcBorders>
          </w:tcPr>
          <w:p>
            <w:pPr>
              <w:spacing w:after="0"/>
              <w:rPr>
                <w:sz w:val="19"/>
                <w:szCs w:val="19"/>
                <w:color w:val="auto"/>
              </w:rPr>
            </w:pPr>
          </w:p>
        </w:tc>
      </w:tr>
      <w:tr>
        <w:trPr>
          <w:trHeight w:val="223"/>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(3,918,663)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(8,492,825)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per share</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82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(0.10)</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r>
      <w:tr>
        <w:trPr>
          <w:trHeight w:val="215"/>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number of common shares used</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 computing net and comprehensive loss per share</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9"/>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40,588,004</w:t>
            </w:r>
          </w:p>
        </w:tc>
        <w:tc>
          <w:tcPr>
            <w:tcW w:w="1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100" w:type="dxa"/>
            <w:vAlign w:val="bottom"/>
            <w:tcBorders>
              <w:bottom w:val="single" w:sz="8" w:color="CFF0FC"/>
            </w:tcBorders>
          </w:tcPr>
          <w:p>
            <w:pPr>
              <w:spacing w:after="0"/>
              <w:rPr>
                <w:sz w:val="23"/>
                <w:szCs w:val="23"/>
                <w:color w:val="auto"/>
              </w:rPr>
            </w:pPr>
          </w:p>
        </w:tc>
      </w:tr>
      <w:tr>
        <w:trPr>
          <w:trHeight w:val="210"/>
        </w:trPr>
        <w:tc>
          <w:tcPr>
            <w:tcW w:w="7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40,588,004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6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4"/>
              </w:rPr>
              <w:t>For the Three Months Ended March 31, 2020 (unaudited)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2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3"/>
              </w:rPr>
              <w:t>Stockholders' Equity</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20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788"/>
              <w:spacing w:after="0" w:line="155" w:lineRule="exact"/>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7"/>
              </w:rPr>
              <w:t>Additional Paid-In</w:t>
            </w:r>
          </w:p>
        </w:tc>
        <w:tc>
          <w:tcPr>
            <w:tcW w:w="180" w:type="dxa"/>
            <w:vAlign w:val="bottom"/>
          </w:tcPr>
          <w:p>
            <w:pPr>
              <w:spacing w:after="0"/>
              <w:rPr>
                <w:sz w:val="13"/>
                <w:szCs w:val="13"/>
                <w:color w:val="auto"/>
              </w:rPr>
            </w:pPr>
          </w:p>
        </w:tc>
        <w:tc>
          <w:tcPr>
            <w:tcW w:w="138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3200" w:type="dxa"/>
            <w:vAlign w:val="bottom"/>
          </w:tcPr>
          <w:p>
            <w:pPr>
              <w:spacing w:after="0"/>
              <w:rPr>
                <w:sz w:val="13"/>
                <w:szCs w:val="13"/>
                <w:color w:val="auto"/>
              </w:rPr>
            </w:pPr>
          </w:p>
        </w:tc>
        <w:tc>
          <w:tcPr>
            <w:tcW w:w="116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Par Value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138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2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1, 2020</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178,766,806</w:t>
            </w:r>
          </w:p>
        </w:tc>
        <w:tc>
          <w:tcPr>
            <w:tcW w:w="3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(142,235,522)</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36,535,343</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3200" w:type="dxa"/>
            <w:vAlign w:val="bottom"/>
          </w:tcPr>
          <w:p>
            <w:pPr>
              <w:ind w:left="260"/>
              <w:spacing w:after="0"/>
              <w:rPr>
                <w:sz w:val="20"/>
                <w:szCs w:val="20"/>
                <w:color w:val="auto"/>
              </w:rPr>
            </w:pPr>
            <w:r>
              <w:rPr>
                <w:rFonts w:ascii="Arial" w:cs="Arial" w:eastAsia="Arial" w:hAnsi="Arial"/>
                <w:sz w:val="14"/>
                <w:szCs w:val="14"/>
                <w:color w:val="auto"/>
              </w:rPr>
              <w:t>Issuance of warrants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62,347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62,347</w:t>
            </w:r>
          </w:p>
        </w:tc>
        <w:tc>
          <w:tcPr>
            <w:tcW w:w="120" w:type="dxa"/>
            <w:vAlign w:val="bottom"/>
          </w:tcPr>
          <w:p>
            <w:pPr>
              <w:spacing w:after="0"/>
              <w:rPr>
                <w:sz w:val="14"/>
                <w:szCs w:val="14"/>
                <w:color w:val="auto"/>
              </w:rPr>
            </w:pPr>
          </w:p>
        </w:tc>
      </w:tr>
      <w:tr>
        <w:trPr>
          <w:trHeight w:val="143"/>
        </w:trPr>
        <w:tc>
          <w:tcPr>
            <w:tcW w:w="32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2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327,467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327,467</w:t>
            </w:r>
          </w:p>
        </w:tc>
        <w:tc>
          <w:tcPr>
            <w:tcW w:w="120" w:type="dxa"/>
            <w:vAlign w:val="bottom"/>
            <w:shd w:val="clear" w:color="auto" w:fill="CFF0FC"/>
          </w:tcPr>
          <w:p>
            <w:pPr>
              <w:spacing w:after="0"/>
              <w:rPr>
                <w:sz w:val="14"/>
                <w:szCs w:val="14"/>
                <w:color w:val="auto"/>
              </w:rPr>
            </w:pPr>
          </w:p>
        </w:tc>
      </w:tr>
      <w:tr>
        <w:trPr>
          <w:trHeight w:val="162"/>
        </w:trPr>
        <w:tc>
          <w:tcPr>
            <w:tcW w:w="3200" w:type="dxa"/>
            <w:vAlign w:val="bottom"/>
          </w:tcPr>
          <w:p>
            <w:pPr>
              <w:ind w:left="260"/>
              <w:spacing w:after="0"/>
              <w:rPr>
                <w:sz w:val="20"/>
                <w:szCs w:val="20"/>
                <w:color w:val="auto"/>
              </w:rPr>
            </w:pPr>
            <w:r>
              <w:rPr>
                <w:rFonts w:ascii="Arial" w:cs="Arial" w:eastAsia="Arial" w:hAnsi="Arial"/>
                <w:sz w:val="14"/>
                <w:szCs w:val="14"/>
                <w:color w:val="auto"/>
              </w:rPr>
              <w:t>Net and comprehensive loss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(3,918,663)</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(3,918,663)</w:t>
            </w:r>
          </w:p>
        </w:tc>
      </w:tr>
      <w:tr>
        <w:trPr>
          <w:trHeight w:val="156"/>
        </w:trPr>
        <w:tc>
          <w:tcPr>
            <w:tcW w:w="32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2020</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179,156,620</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(146,154,185)</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33,006,494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7"/>
        </w:trPr>
        <w:tc>
          <w:tcPr>
            <w:tcW w:w="3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6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4"/>
              </w:rPr>
              <w:t>For the Three Months Ended March 31, 2019 (unaudited)</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32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3"/>
              </w:rPr>
              <w:t>Stockholders' Equity</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20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788"/>
              <w:spacing w:after="0" w:line="155" w:lineRule="exact"/>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7"/>
              </w:rPr>
              <w:t>Additional Paid-In</w:t>
            </w:r>
          </w:p>
        </w:tc>
        <w:tc>
          <w:tcPr>
            <w:tcW w:w="180" w:type="dxa"/>
            <w:vAlign w:val="bottom"/>
          </w:tcPr>
          <w:p>
            <w:pPr>
              <w:spacing w:after="0"/>
              <w:rPr>
                <w:sz w:val="13"/>
                <w:szCs w:val="13"/>
                <w:color w:val="auto"/>
              </w:rPr>
            </w:pPr>
          </w:p>
        </w:tc>
        <w:tc>
          <w:tcPr>
            <w:tcW w:w="138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3200" w:type="dxa"/>
            <w:vAlign w:val="bottom"/>
          </w:tcPr>
          <w:p>
            <w:pPr>
              <w:spacing w:after="0"/>
              <w:rPr>
                <w:sz w:val="13"/>
                <w:szCs w:val="13"/>
                <w:color w:val="auto"/>
              </w:rPr>
            </w:pPr>
          </w:p>
        </w:tc>
        <w:tc>
          <w:tcPr>
            <w:tcW w:w="116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Par Value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138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2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1, 2019</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177,621,807</w:t>
            </w:r>
          </w:p>
        </w:tc>
        <w:tc>
          <w:tcPr>
            <w:tcW w:w="3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(118,959,291)</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58,666,575</w:t>
            </w:r>
          </w:p>
        </w:tc>
        <w:tc>
          <w:tcPr>
            <w:tcW w:w="120" w:type="dxa"/>
            <w:vAlign w:val="bottom"/>
            <w:tcBorders>
              <w:top w:val="single" w:sz="8" w:color="CFF0FC"/>
            </w:tcBorders>
            <w:shd w:val="clear" w:color="auto" w:fill="CFF0FC"/>
          </w:tcPr>
          <w:p>
            <w:pPr>
              <w:spacing w:after="0"/>
              <w:rPr>
                <w:sz w:val="13"/>
                <w:szCs w:val="13"/>
                <w:color w:val="auto"/>
              </w:rPr>
            </w:pPr>
          </w:p>
        </w:tc>
      </w:tr>
      <w:tr>
        <w:trPr>
          <w:trHeight w:val="143"/>
        </w:trPr>
        <w:tc>
          <w:tcPr>
            <w:tcW w:w="3200" w:type="dxa"/>
            <w:vAlign w:val="bottom"/>
          </w:tcPr>
          <w:p>
            <w:pPr>
              <w:ind w:left="260"/>
              <w:spacing w:after="0" w:line="143" w:lineRule="exact"/>
              <w:rPr>
                <w:sz w:val="20"/>
                <w:szCs w:val="20"/>
                <w:color w:val="auto"/>
              </w:rPr>
            </w:pPr>
            <w:r>
              <w:rPr>
                <w:rFonts w:ascii="Arial" w:cs="Arial" w:eastAsia="Arial" w:hAnsi="Arial"/>
                <w:sz w:val="14"/>
                <w:szCs w:val="14"/>
                <w:color w:val="auto"/>
              </w:rPr>
              <w:t>Cumulative effect of change in</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200" w:type="dxa"/>
            <w:vAlign w:val="bottom"/>
          </w:tcPr>
          <w:p>
            <w:pPr>
              <w:ind w:left="360"/>
              <w:spacing w:after="0"/>
              <w:rPr>
                <w:sz w:val="20"/>
                <w:szCs w:val="20"/>
                <w:color w:val="auto"/>
              </w:rPr>
            </w:pPr>
            <w:r>
              <w:rPr>
                <w:rFonts w:ascii="Arial" w:cs="Arial" w:eastAsia="Arial" w:hAnsi="Arial"/>
                <w:sz w:val="14"/>
                <w:szCs w:val="14"/>
                <w:color w:val="auto"/>
              </w:rPr>
              <w:t>accounting principle</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5,717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(5,717)</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43"/>
        </w:trPr>
        <w:tc>
          <w:tcPr>
            <w:tcW w:w="32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2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621,685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621,685</w:t>
            </w:r>
          </w:p>
        </w:tc>
        <w:tc>
          <w:tcPr>
            <w:tcW w:w="120" w:type="dxa"/>
            <w:vAlign w:val="bottom"/>
            <w:shd w:val="clear" w:color="auto" w:fill="CFF0FC"/>
          </w:tcPr>
          <w:p>
            <w:pPr>
              <w:spacing w:after="0"/>
              <w:rPr>
                <w:sz w:val="14"/>
                <w:szCs w:val="14"/>
                <w:color w:val="auto"/>
              </w:rPr>
            </w:pPr>
          </w:p>
        </w:tc>
      </w:tr>
      <w:tr>
        <w:trPr>
          <w:trHeight w:val="162"/>
        </w:trPr>
        <w:tc>
          <w:tcPr>
            <w:tcW w:w="3200" w:type="dxa"/>
            <w:vAlign w:val="bottom"/>
          </w:tcPr>
          <w:p>
            <w:pPr>
              <w:ind w:left="260"/>
              <w:spacing w:after="0"/>
              <w:rPr>
                <w:sz w:val="20"/>
                <w:szCs w:val="20"/>
                <w:color w:val="auto"/>
              </w:rPr>
            </w:pPr>
            <w:r>
              <w:rPr>
                <w:rFonts w:ascii="Arial" w:cs="Arial" w:eastAsia="Arial" w:hAnsi="Arial"/>
                <w:sz w:val="14"/>
                <w:szCs w:val="14"/>
                <w:color w:val="auto"/>
              </w:rPr>
              <w:t>Net and comprehensive loss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(8,492,825)</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(8,492,825)</w:t>
            </w:r>
          </w:p>
        </w:tc>
      </w:tr>
      <w:tr>
        <w:trPr>
          <w:trHeight w:val="156"/>
        </w:trPr>
        <w:tc>
          <w:tcPr>
            <w:tcW w:w="32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2019</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178,249,209</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(127,457,833)</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50,795,435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gridSpan w:val="3"/>
          </w:tcPr>
          <w:p>
            <w:pPr>
              <w:jc w:val="right"/>
              <w:ind w:right="167"/>
              <w:spacing w:after="0"/>
              <w:rPr>
                <w:sz w:val="20"/>
                <w:szCs w:val="20"/>
                <w:color w:val="auto"/>
              </w:rPr>
            </w:pPr>
            <w:r>
              <w:rPr>
                <w:rFonts w:ascii="Arial" w:cs="Arial" w:eastAsia="Arial" w:hAnsi="Arial"/>
                <w:sz w:val="18"/>
                <w:szCs w:val="18"/>
                <w:i w:val="1"/>
                <w:iCs w:val="1"/>
                <w:color w:val="auto"/>
              </w:rPr>
              <w:t>(unaudited)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and comprehensive loss</w:t>
            </w:r>
          </w:p>
        </w:tc>
        <w:tc>
          <w:tcPr>
            <w:tcW w:w="17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(3,918,663)</w:t>
            </w: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(8,492,825)</w:t>
            </w:r>
          </w:p>
        </w:tc>
        <w:tc>
          <w:tcPr>
            <w:tcW w:w="0" w:type="dxa"/>
            <w:vAlign w:val="bottom"/>
          </w:tcPr>
          <w:p>
            <w:pPr>
              <w:spacing w:after="0"/>
              <w:rPr>
                <w:sz w:val="1"/>
                <w:szCs w:val="1"/>
                <w:color w:val="auto"/>
              </w:rPr>
            </w:pPr>
          </w:p>
        </w:tc>
      </w:tr>
      <w:tr>
        <w:trPr>
          <w:trHeight w:val="215"/>
        </w:trPr>
        <w:tc>
          <w:tcPr>
            <w:tcW w:w="5860" w:type="dxa"/>
            <w:vAlign w:val="bottom"/>
          </w:tcPr>
          <w:p>
            <w:pPr>
              <w:ind w:left="260"/>
              <w:spacing w:after="0"/>
              <w:rPr>
                <w:sz w:val="20"/>
                <w:szCs w:val="20"/>
                <w:color w:val="auto"/>
              </w:rPr>
            </w:pPr>
            <w:r>
              <w:rPr>
                <w:rFonts w:ascii="Arial" w:cs="Arial" w:eastAsia="Arial" w:hAnsi="Arial"/>
                <w:sz w:val="18"/>
                <w:szCs w:val="18"/>
                <w:color w:val="auto"/>
              </w:rPr>
              <w:t>Adjustments to reconcile net and comprehensive loss to net</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380"/>
              <w:spacing w:after="0"/>
              <w:rPr>
                <w:sz w:val="20"/>
                <w:szCs w:val="20"/>
                <w:color w:val="auto"/>
              </w:rPr>
            </w:pPr>
            <w:r>
              <w:rPr>
                <w:rFonts w:ascii="Arial" w:cs="Arial" w:eastAsia="Arial" w:hAnsi="Arial"/>
                <w:sz w:val="18"/>
                <w:szCs w:val="18"/>
                <w:color w:val="auto"/>
              </w:rPr>
              <w:t>cash used in operating activities:</w:t>
            </w: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w:t>
            </w: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15,102</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327,467</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621,685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Consulting expenses related to warrants</w:t>
            </w: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62,347</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research and development contracts</w:t>
            </w: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82,492</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167,287</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other current liabilities</w:t>
            </w: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(675,858)</w:t>
            </w:r>
          </w:p>
        </w:tc>
        <w:tc>
          <w:tcPr>
            <w:tcW w:w="5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(1,713,530)</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(3,939,826)</w:t>
            </w:r>
          </w:p>
        </w:tc>
        <w:tc>
          <w:tcPr>
            <w:tcW w:w="3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(9,078,195)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500"/>
              <w:spacing w:after="0"/>
              <w:rPr>
                <w:sz w:val="20"/>
                <w:szCs w:val="20"/>
                <w:color w:val="auto"/>
              </w:rPr>
            </w:pPr>
            <w:r>
              <w:rPr>
                <w:rFonts w:ascii="Arial" w:cs="Arial" w:eastAsia="Arial" w:hAnsi="Arial"/>
                <w:sz w:val="18"/>
                <w:szCs w:val="18"/>
                <w:color w:val="auto"/>
              </w:rPr>
              <w:t>Purchase of furniture and equipment</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(113,283)</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Financing activities:</w:t>
            </w:r>
          </w:p>
        </w:tc>
        <w:tc>
          <w:tcPr>
            <w:tcW w:w="13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(3,939,826)</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(9,191,478)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13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38,524,536</w:t>
            </w:r>
          </w:p>
        </w:tc>
        <w:tc>
          <w:tcPr>
            <w:tcW w:w="3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62,614,010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Cash and cash equivalents, three months ended</w:t>
            </w:r>
          </w:p>
        </w:tc>
        <w:tc>
          <w:tcPr>
            <w:tcW w:w="132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34,584,710</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53,422,532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3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Aerpio Pharmaceuticals, Inc. (the “Company”) is a biopharmaceutical company focused on developing compounds that activate Tie2 to treat ocular diseases and diabetic complications. The Company was incorporated as Zeta Acquisition Corp. II (“Zeta”) in the State of Delaware on November 16, 2007. Zeta was a “shell company” (as defined in Rule 12b-2 of the Securities Exchange Act of 1934, as amended).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pipeline includes the following programs: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Glaucoma: </w:t>
      </w:r>
      <w:r>
        <w:rPr>
          <w:rFonts w:ascii="Arial" w:cs="Arial" w:eastAsia="Arial" w:hAnsi="Arial"/>
          <w:sz w:val="17"/>
          <w:szCs w:val="17"/>
          <w:color w:val="auto"/>
        </w:rPr>
        <w:t>Based on the preclinical proof of concept and the results of the Phase 1b trial showing a reduction in intraocular pressure (“IOP”) in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ocular hypertension (“OHT”) and open angle glaucoma (“OAG”), the Company is preparing to further advance the glaucoma program into a Phase 2 clinical trial and expects to initiate the trial in the third quarter of 2020 with results expected in the first quarter of 2021, subject to potential delays in subject enrollment and study completion due to the ongoing global outbreak of the novel coronavirus disease (“COVID-19”).</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Diabetic Kidney Disease: </w:t>
      </w:r>
      <w:r>
        <w:rPr>
          <w:rFonts w:ascii="Arial" w:cs="Arial" w:eastAsia="Arial" w:hAnsi="Arial"/>
          <w:sz w:val="18"/>
          <w:szCs w:val="18"/>
          <w:color w:val="auto"/>
        </w:rPr>
        <w:t>In two consecutive trials, TIME-2 and TIME-2b, subcutaneous AKB-9778 showed reduction in Urine Albumin-Creatinine Ratio</w:t>
      </w:r>
      <w:r>
        <w:rPr>
          <w:rFonts w:ascii="Arial" w:cs="Arial" w:eastAsia="Arial" w:hAnsi="Arial"/>
          <w:sz w:val="18"/>
          <w:szCs w:val="18"/>
          <w:i w:val="1"/>
          <w:iCs w:val="1"/>
          <w:color w:val="auto"/>
        </w:rPr>
        <w:t xml:space="preserve"> </w:t>
      </w:r>
      <w:r>
        <w:rPr>
          <w:rFonts w:ascii="Arial" w:cs="Arial" w:eastAsia="Arial" w:hAnsi="Arial"/>
          <w:sz w:val="18"/>
          <w:szCs w:val="18"/>
          <w:color w:val="auto"/>
        </w:rPr>
        <w:t>(“UACR”), a measure of progression of diabetic kidney disease. The Company believes that systemic treatment with AKB-9778 could have the potential to change the treatment paradigm for diabetics in the future and potentially address a major societal problem by lowering the cost of care associated generally with diabetes.</w:t>
      </w:r>
    </w:p>
    <w:p>
      <w:pPr>
        <w:spacing w:after="0" w:line="7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i w:val="1"/>
          <w:iCs w:val="1"/>
          <w:color w:val="auto"/>
        </w:rPr>
        <w:t xml:space="preserve">ARP-1536: </w:t>
      </w:r>
      <w:r>
        <w:rPr>
          <w:rFonts w:ascii="Arial" w:cs="Arial" w:eastAsia="Arial" w:hAnsi="Arial"/>
          <w:sz w:val="18"/>
          <w:szCs w:val="18"/>
          <w:color w:val="auto"/>
        </w:rPr>
        <w:t>ARP-1536, the humanized monoclonal antibody directed at the same target as subcutaneous AKB-9778, is in preclinical development.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evaluating development options for ARP-1536, including subcutaneous injection for the treatment of diabetic vascular complications, e.g., diabetic nephropathy and intravitreal injection as an adjunctive therapy for diabetic macular edema.</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is also developing a bispecific antibody that binds both VEGF and VE-PTP which is designed to inhibit VEGF activation and activate Tie2. The Company believes this bispecific antibody has the potential to be an improved treatment for wet aged-related macular degeneration (“AMD”) and diabetic macular edema via intravitreal injection.</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the Company licensed AKB-4924, a selective stabilizer of hypoxia-inducible factor-1 alpha (“HIF-1 alpha”) to a wholly-owned subsidiary of Gossamer Bio, Inc., GB004, Inc. (collectively “Gossamer”), which is being developed for the treatment of inflammatory bowel disease (“IBD”). HIF-1 alpha is involved in mucosal wound healing and the reduction of inflammation in the gastrointestinal tract. Gossamer has completed the Phase 1 multiple ascending dose (“MAD”) clinical study and is currently running a Phase 1b clinical study in ulcerative colitis patients. Gossamer is expected to have results of the Phase 1b study in ulcerative colitis patients in the first half of 2020. Gossamer is responsible for all remaining development and commercial activities for GB004.</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has been primarily limited to license revenue from Gossamer. Future revenue is dependent on the terms of the license agreement with Gossamer as further described in Note 11. The Company’s product candidates are subject to long development cycles and there is no assurance the Company will be able to successfully develop, obtain regulatory approval for, or market its product candidates.</w:t>
      </w:r>
    </w:p>
    <w:p>
      <w:pPr>
        <w:spacing w:after="0" w:line="8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incurred losses from operations and had a negative cash flows from operating activities for the three months ended March 31, 2020 and 2019 (and since inception). The Company’s current operating plan indicates that it will continue to incur losses from operations and generate negative cash flows from operating activities given ongoing expenditures related to the completion of its ongoing clinical trials and the Company’s lack of product revenue generating activities. However, the Company believes it has the ability to control its current operating plan and that existing cash and cash equivalents of approximately $34.6 million at March 31, 2020 will be sufficient to allow the Company to fund its current operating plan through at least the second quarter of 2021.</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can be no assurance, however, that the current operating plan will be achieved in the time frame anticipated by the Company, or that its cash resources will fund the Company’s operating plan for the period anticipated by the Company or that additional funding will be available on terms acceptable to the Company, or at all. The Company will need to raise additional funds in order to further advance its clinical research programs, commence additional clinical trials, and operate its business and meet its obligations as they come due. The Company is pursuing financing alternatives, which include permanent equity financing, business development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right="40"/>
        <w:spacing w:after="0" w:line="293" w:lineRule="auto"/>
        <w:rPr>
          <w:sz w:val="20"/>
          <w:szCs w:val="20"/>
          <w:color w:val="auto"/>
        </w:rPr>
      </w:pPr>
      <w:r>
        <w:rPr>
          <w:rFonts w:ascii="Arial" w:cs="Arial" w:eastAsia="Arial" w:hAnsi="Arial"/>
          <w:sz w:val="16"/>
          <w:szCs w:val="16"/>
          <w:color w:val="auto"/>
        </w:rPr>
        <w:t>arrangements, and licensing arrangements. However, financing may not be available to the Company in the necessary time frame, in amounts that the Company requires, on terms that are acceptable to the Company, or at all. If the Company raises additional funds through collaboration, licensing or other similar arrangements, it may be necessary to relinquish valuable rights to its potential products or proprietary technologies or grant licenses on terms that are not favorable to the Company. If the Company is unable to raise the necessary funds when needed or reduce spending on currently planned activities, it may not be able to continue the development of its product candidates or the Company could be required to delay, scale back, or eliminate some or all of its development programs and other operations and will materially harm its business, financial position and results of operations.</w:t>
      </w:r>
    </w:p>
    <w:p>
      <w:pPr>
        <w:spacing w:after="0" w:line="5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COVID-19 has resulted in significant governmental measures being implemented to control the spread of the virus and while the Company cannot predict their scope and severity, these developments and measures could materially and adversely affect its business, including its planned Phase 2 clinical trial for the glaucoma program, results of operations and financial condition. In addition, in response to the spread of COVID-19, the Company has closed its executive offices with its employees continuing their work outside of the offices. The Company is closely monitoring the impact of the COVID-19 pandemic on all aspects of its business and is taking steps to minimize the impact on its business. However, the extent to which COVID-19 impacts the Company’s business, results of operations or financial condition will depend on future developments, which are highly uncertain and cannot be predicted with confidence, such as the duration of the outbreak, new information that may emerge concerning the severity of COVID-19 or the effectiveness of actions taken to contain the pandemic or treat its impact, among others. Furthermore, if the Company or any of the third parties with whom it engages, however, were to experience shutdowns or other business disruptions, the Company’s ability to conduct its business in the manner and on the timelines presently planned could be materially or negatively affected, which could have a material adverse impact on the Company’s business, results of operation and financial condition.</w:t>
      </w:r>
    </w:p>
    <w:p>
      <w:pPr>
        <w:spacing w:after="0" w:line="218" w:lineRule="exact"/>
        <w:rPr>
          <w:sz w:val="20"/>
          <w:szCs w:val="20"/>
          <w:color w:val="auto"/>
        </w:rPr>
      </w:pPr>
    </w:p>
    <w:p>
      <w:pPr>
        <w:ind w:right="7680" w:firstLine="8"/>
        <w:spacing w:after="0" w:line="377"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unaudited condensed consolidated financial statements have been prepared in accordance with U.S. Securities and Exchange Commission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U.S. GAAP as found in the Accounting Standards Codification (“ASC”) and Accounting Standards Updates (“ASU”) of the Financial Accounting Standards Board (“FASB”). All adjustments are of a normal and recurring in nature. These unaudited condensed consolidated financial statements should be read in conjunction with the consolidated financial statements of the Company as of and for the year ended December 31, 2019, included in the Company’s Annual Report on Form 10-K filed with the SEC on March 16, 2020. The results of operations for the interim periods are not necessarily indicative of results of operations for a full year. The Company’s condensed consolidated financial statements are stated in U.S. Dollars.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prepaid and accrued research and development expense, stock-based compensation expense, revenue recognition and income taxes.</w:t>
      </w:r>
    </w:p>
    <w:p>
      <w:pPr>
        <w:spacing w:after="0" w:line="9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Company’s results can also be affected by economic conditions, global health concerns, such as the COVID-19 pandemic, and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Cash and cash equivalents consist of all cash on hand and $100,000 invested in short-term certificates of deposits with original maturities of three months or less at the time of purchase. At March 31, 2020 and December 31, 2019, the Company’s cash equivalents are primarily in money market funds. The Company maintains balances with its banks in excess of federally insured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6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Upfront License Fees: </w:t>
      </w:r>
      <w:r>
        <w:rPr>
          <w:rFonts w:ascii="Arial" w:cs="Arial" w:eastAsia="Arial" w:hAnsi="Arial"/>
          <w:sz w:val="17"/>
          <w:szCs w:val="17"/>
          <w:color w:val="auto"/>
        </w:rPr>
        <w:t>If a license to the Company’s intellectual property is determined to be distinct from the other performance obligations identified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ind w:right="20"/>
        <w:spacing w:after="0" w:line="269" w:lineRule="auto"/>
        <w:rPr>
          <w:sz w:val="20"/>
          <w:szCs w:val="20"/>
          <w:color w:val="auto"/>
        </w:rPr>
      </w:pPr>
      <w:r>
        <w:rPr>
          <w:rFonts w:ascii="Arial" w:cs="Arial" w:eastAsia="Arial" w:hAnsi="Arial"/>
          <w:sz w:val="17"/>
          <w:szCs w:val="17"/>
          <w:i w:val="1"/>
          <w:iCs w:val="1"/>
          <w:color w:val="auto"/>
        </w:rPr>
        <w:t>Development Milestone Payments</w:t>
      </w:r>
      <w:r>
        <w:rPr>
          <w:rFonts w:ascii="Arial" w:cs="Arial" w:eastAsia="Arial" w:hAnsi="Arial"/>
          <w:sz w:val="17"/>
          <w:szCs w:val="17"/>
          <w:color w:val="auto"/>
        </w:rPr>
        <w:t>: Depending on facts and circumstances, the Company may conclude it is appropriate to include the milestone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7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Sales-based Milestone and Royalty Payments: </w:t>
      </w:r>
      <w:r>
        <w:rPr>
          <w:rFonts w:ascii="Arial" w:cs="Arial" w:eastAsia="Arial" w:hAnsi="Arial"/>
          <w:sz w:val="18"/>
          <w:szCs w:val="18"/>
          <w:color w:val="auto"/>
        </w:rPr>
        <w:t>The Company’s collaborators may be required to pay the Company sales-based milestone payments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clinical, preclinical and regulatory activities.</w:t>
      </w:r>
    </w:p>
    <w:p>
      <w:pPr>
        <w:spacing w:after="0" w:line="7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The Company recognizes deferred tax assets and liabilities for the expected future tax consequences of events that have been included in the condensed consolidated financial statements or tax returns. Deferred tax assets and liabilities are determined based on the difference between the condensed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2020 and December 31, 2019, the Company does not have any uncertain tax positions. The Company recognizes interest and penalties related to uncertain tax positions, if any exist, in income tax expense.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Net and Comprehensive Loss per Share Attributable to Common Stockholders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basic net and comprehensive loss per share attributable to common stockholders is calculated by dividing the net and comprehensive loss by the weighted average number of shares of common stock outstanding for the period. The diluted net and comprehensive loss per share attributable to common stockholders is computed by adjusting the weighted average shares outstanding for the dilutive effect of common stock equivalents outstanding for the period, determined using the treasury stock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accounts for its stock-based compensation awards in accordance with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ASC 718 requires all stock-based payments to employees, including grants of employee stock options, to be recognized in the condensed consolidated statements of operations and comprehensive loss based on their fair values. All the Company’s stock-based awards are subject only to service-based vesting conditions. The Company estimates the fair value of its stock-based awards using the Black-Scholes option pricing model, which requires the input of assumptions, including (a) the expected stock price volatility, (b) the calculation of expected term of the award, (c) the risk-free interest rate, and (d) expected dividends.</w:t>
      </w:r>
    </w:p>
    <w:p>
      <w:pPr>
        <w:spacing w:after="0" w:line="8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Due to the historical lack of public market for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The Company uses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Company’s financial instruments consist of cash and cash equivalents, accounts payable and accrued expenses. The Company values cash equivalents using quoted market prices. The fair value of accounts payable and accrued expenses approximates its carrying value because of its short-term nature.</w:t>
      </w:r>
    </w:p>
    <w:p>
      <w:pPr>
        <w:spacing w:after="0" w:line="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of inputs used in measuring fair value that maximizes the use of observable inputs and minimizes the use of unobservable inputs by requiring that the observable inputs be used when available.</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880" w:right="22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ind w:right="20"/>
        <w:spacing w:after="0" w:line="275"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during the three months ended March 31, 2020 or 2019. The assets of the Company measured at fair value on a recurring basis as of March 31, 2020 and December 31, 2019, are summarized below:</w:t>
      </w:r>
    </w:p>
    <w:p>
      <w:pPr>
        <w:spacing w:after="0" w:line="2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Fair Value Measurements Using</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10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34,584,710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FF0FC"/>
          </w:tcPr>
          <w:p>
            <w:pPr>
              <w:ind w:left="7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34,584,710</w:t>
            </w:r>
          </w:p>
        </w:tc>
        <w:tc>
          <w:tcPr>
            <w:tcW w:w="100" w:type="dxa"/>
            <w:vAlign w:val="bottom"/>
            <w:shd w:val="clear" w:color="auto" w:fill="CFF0FC"/>
          </w:tcPr>
          <w:p>
            <w:pPr>
              <w:spacing w:after="0"/>
              <w:rPr>
                <w:sz w:val="19"/>
                <w:szCs w:val="19"/>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34,584,710</w:t>
            </w:r>
          </w:p>
        </w:tc>
        <w:tc>
          <w:tcPr>
            <w:tcW w:w="2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34,584,710</w:t>
            </w:r>
          </w:p>
        </w:tc>
        <w:tc>
          <w:tcPr>
            <w:tcW w:w="100" w:type="dxa"/>
            <w:vAlign w:val="bottom"/>
            <w:tcBorders>
              <w:bottom w:val="single" w:sz="8" w:color="CFF0FC"/>
            </w:tcBorders>
          </w:tcPr>
          <w:p>
            <w:pPr>
              <w:spacing w:after="0"/>
              <w:rPr>
                <w:sz w:val="22"/>
                <w:szCs w:val="22"/>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38,524,536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38,524,536</w:t>
            </w:r>
          </w:p>
        </w:tc>
        <w:tc>
          <w:tcPr>
            <w:tcW w:w="100" w:type="dxa"/>
            <w:vAlign w:val="bottom"/>
            <w:shd w:val="clear" w:color="auto" w:fill="CFF0FC"/>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38,524,536</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38,524,536</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and cash equivalents are the only financial instruments that potentially subject the Company to concentrations of credit risk. At March 31, 2020 and December 31, 2019, the Company maintains its cash and cash equivalents with high-quality,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the circumstances present. All leases with a term greater than one year are recognized on the condensed consolidated balance sheet as right-of-use assets, lease liabilities and, if applicable, long-term lease liabilities. The Company has elected not to recognize on the condensed consolidated balance sheet leases with terms of one-year or less if entered into.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financial position or results of operations upon adoption.</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Improvements to Nonemployee Share-Based Payment Accounting (“ASU 2018-07”).</w:t>
      </w:r>
      <w:r>
        <w:rPr>
          <w:rFonts w:ascii="Arial" w:cs="Arial" w:eastAsia="Arial" w:hAnsi="Arial"/>
          <w:sz w:val="18"/>
          <w:szCs w:val="18"/>
          <w:color w:val="auto"/>
        </w:rPr>
        <w:t xml:space="preserve"> ASU 2018-07 improves financial reporting for share-based payments issued to nonemployees under ASC 718 by expanding the scope of the employee share-based payments guidance to include share-based payments issued to nonemployees. The amendments in ASU 2018-07 are effective for public companies for fiscal years beginning after December 31, 2018, including interim periods within that fiscal year. The Company adopted ASU 2018-07 as of January 1, 2019 and recorded a one-time cumulative adjustment of $5,717 upon adoption.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360"/>
        <w:spacing w:after="0" w:line="277" w:lineRule="auto"/>
        <w:rPr>
          <w:sz w:val="20"/>
          <w:szCs w:val="20"/>
          <w:color w:val="auto"/>
        </w:rPr>
      </w:pPr>
      <w:r>
        <w:rPr>
          <w:rFonts w:ascii="Arial" w:cs="Arial" w:eastAsia="Arial" w:hAnsi="Arial"/>
          <w:sz w:val="18"/>
          <w:szCs w:val="18"/>
          <w:color w:val="auto"/>
        </w:rPr>
        <w:t>No other new accounting pronouncement recently issued or newly effective had or is expected to have a material impact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52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Accrued retention bonus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720,398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521,859</w:t>
            </w:r>
          </w:p>
        </w:tc>
        <w:tc>
          <w:tcPr>
            <w:tcW w:w="8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Restructuring accrual (see Note 12)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521,848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793,913</w:t>
            </w:r>
          </w:p>
        </w:tc>
        <w:tc>
          <w:tcPr>
            <w:tcW w:w="8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421,120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439,785</w:t>
            </w:r>
          </w:p>
        </w:tc>
        <w:tc>
          <w:tcPr>
            <w:tcW w:w="80" w:type="dxa"/>
            <w:vAlign w:val="bottom"/>
            <w:shd w:val="clear" w:color="auto" w:fill="CFF0FC"/>
          </w:tcPr>
          <w:p>
            <w:pPr>
              <w:spacing w:after="0"/>
              <w:rPr>
                <w:sz w:val="19"/>
                <w:szCs w:val="19"/>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412,429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346,999</w:t>
            </w:r>
          </w:p>
        </w:tc>
        <w:tc>
          <w:tcPr>
            <w:tcW w:w="80" w:type="dxa"/>
            <w:vAlign w:val="bottom"/>
          </w:tcPr>
          <w:p>
            <w:pPr>
              <w:spacing w:after="0"/>
              <w:rPr>
                <w:sz w:val="21"/>
                <w:szCs w:val="21"/>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282,765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382,131</w:t>
            </w:r>
          </w:p>
        </w:tc>
        <w:tc>
          <w:tcPr>
            <w:tcW w:w="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Accrued bonus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106,159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689,830</w:t>
            </w:r>
          </w:p>
        </w:tc>
        <w:tc>
          <w:tcPr>
            <w:tcW w:w="80" w:type="dxa"/>
            <w:vAlign w:val="bottom"/>
          </w:tcPr>
          <w:p>
            <w:pPr>
              <w:spacing w:after="0"/>
              <w:rPr>
                <w:sz w:val="19"/>
                <w:szCs w:val="19"/>
                <w:color w:val="auto"/>
              </w:rPr>
            </w:pPr>
          </w:p>
        </w:tc>
      </w:tr>
      <w:tr>
        <w:trPr>
          <w:trHeight w:val="24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Accrued vacation</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65,020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43,470</w:t>
            </w:r>
          </w:p>
        </w:tc>
        <w:tc>
          <w:tcPr>
            <w:tcW w:w="80" w:type="dxa"/>
            <w:vAlign w:val="bottom"/>
            <w:shd w:val="clear" w:color="auto" w:fill="CFF0FC"/>
          </w:tcPr>
          <w:p>
            <w:pPr>
              <w:spacing w:after="0"/>
              <w:rPr>
                <w:sz w:val="21"/>
                <w:szCs w:val="21"/>
                <w:color w:val="auto"/>
              </w:rPr>
            </w:pPr>
          </w:p>
        </w:tc>
      </w:tr>
      <w:tr>
        <w:trPr>
          <w:trHeight w:val="229"/>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17,984</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13,463</w:t>
            </w:r>
          </w:p>
        </w:tc>
        <w:tc>
          <w:tcPr>
            <w:tcW w:w="80" w:type="dxa"/>
            <w:vAlign w:val="bottom"/>
            <w:tcBorders>
              <w:bottom w:val="single" w:sz="8" w:color="CFF0FC"/>
            </w:tcBorders>
          </w:tcPr>
          <w:p>
            <w:pPr>
              <w:spacing w:after="0"/>
              <w:rPr>
                <w:sz w:val="19"/>
                <w:szCs w:val="19"/>
                <w:color w:val="auto"/>
              </w:rPr>
            </w:pPr>
          </w:p>
        </w:tc>
      </w:tr>
      <w:tr>
        <w:trPr>
          <w:trHeight w:val="223"/>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payable and accrued expenses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2,547,723</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3,231,450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and December 31, 2019, the Company had 300,000,000 shares of authorized common stock with par value of $0.0001 per share.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common stock are entitled to receive dividends, if and when declared by the board of directors of the Company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the Company’s inception, no dividends have been declared or paid to the holders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360"/>
        <w:spacing w:after="0" w:line="308"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March 31, 2020 and December 31, 2019, the Company had warrants outstanding for the purchase of 600,000 and 917,562 shares, respectively, of the Company’s common stock. In October 2019, the Company issued warrants for the purchase of 600,000 shares of the Company’s common stock at an exercise price of $0.486 per share in connection with the hiring of a strategic advisor consultant for a six-month period. These warrants vested in equal monthly installments over a six-month period beginning October 14, 2019 and expire on October 24, 2024. At the date of grant the fair value of these awards was determined using a Black-Scholes Merton pricing model. Included at December 31,2019 are warrants for the purchase of 317,562 shares of the Company’s common stock at an exercise price of $5.00 per share that were issued in connection with the 2017 Offering and have a three-year term. The 317,562 warrants expired on March 15, 2020 and none were exercised or settled as the fair value of the Company’s common stock was below the exercise price.</w:t>
      </w:r>
    </w:p>
    <w:p>
      <w:pPr>
        <w:spacing w:after="0" w:line="84"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The number of shares and the exercise price shall be adjusted for standard anti-dilution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and December 31, 2019, the Company had 10,000,000 shares of preferred stock, par value $0.0001 per share, in authorized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preferred stock was issued and outstanding at March 31, 2020 and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In March 2020, the Company’s Board of Directors approved a 4% increase adding 1,623,520 shares to the 2017 Plan, which was effective as of January 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options granted generally vest over 48 months. Under the 2017 Plan, options vest in installments of 25% at the one-year anniversary and thereafter in 36 equal monthly installments beginning on the 1</w:t>
      </w:r>
      <w:r>
        <w:rPr>
          <w:rFonts w:ascii="Arial" w:cs="Arial" w:eastAsia="Arial" w:hAnsi="Arial"/>
          <w:sz w:val="15"/>
          <w:szCs w:val="15"/>
          <w:color w:val="auto"/>
        </w:rPr>
        <w:t>st</w:t>
      </w:r>
      <w:r>
        <w:rPr>
          <w:rFonts w:ascii="Arial" w:cs="Arial" w:eastAsia="Arial" w:hAnsi="Arial"/>
          <w:sz w:val="18"/>
          <w:szCs w:val="18"/>
          <w:color w:val="auto"/>
        </w:rPr>
        <w:t xml:space="preserve"> of the month after the one-year anniversary date, subject to the employee’s continuous service with the Company. In May 2019, the Company issued a special retention grant of options to purchase an aggregate of 2,419,050 shares of common stock which vest in installments of 50% at June 30, 2020 and 50% at June 30, 2021, subject to the employee’s continuous service with the Company. The options generally expire ten years after the date of grant. The fair value of the options at the date of grant is recognized as an expense over the requisite service period. During the three months ended March 31, 2020 and 2019, option awards to purchase an aggregate of 702,000 and 1,820,828 shares of common stock were granted,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2020 and December 31, 2019, 3,556,670 and 1,983,093 shares were reserved for issuance under the 2017 Plan,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three months ended March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2020</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5,335,850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702,000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0.52</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(1,265,890)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March 31, 2020</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4,771,960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Expected to vest, March 31, 2020</w:t>
            </w: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2,897,757</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March 31,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1,874,203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auto"/>
        </w:rPr>
        <w:t>Aggregate intrinsic value represents the estimated fair value of the Company’s common stock at in excess of the weighted average exercise price multiplied by the number of options outstanding or exercisable.</w:t>
      </w:r>
    </w:p>
    <w:p>
      <w:pPr>
        <w:spacing w:after="0" w:line="3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March 31, 2020, there was $2,201,201 of unrecognized compensation cost related to stock options, which is expected to be recognized over a weighted average period of 2.28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 Summary</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recognized the following compensation cost related to employee and non-employee stock-based compensation activity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88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131,678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159,331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195,789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462,354</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327,467</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621,685</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40" w:type="dxa"/>
            <w:vAlign w:val="bottom"/>
            <w:vMerge w:val="restart"/>
          </w:tcPr>
          <w:p>
            <w:pPr>
              <w:jc w:val="right"/>
              <w:ind w:right="101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three months ended March 31, 2020 was $0.31 per share. The calculation was based on the following assumptions.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70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516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00" w:type="dxa"/>
            <w:vAlign w:val="bottom"/>
            <w:shd w:val="clear" w:color="auto" w:fill="CFF0FC"/>
          </w:tcPr>
          <w:p>
            <w:pPr>
              <w:jc w:val="right"/>
              <w:ind w:right="316"/>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0.59%</w:t>
            </w:r>
          </w:p>
        </w:tc>
        <w:tc>
          <w:tcPr>
            <w:tcW w:w="2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2.49%</w:t>
            </w:r>
          </w:p>
        </w:tc>
        <w:tc>
          <w:tcPr>
            <w:tcW w:w="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67.33%</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65.62%</w:t>
            </w:r>
          </w:p>
        </w:tc>
        <w:tc>
          <w:tcPr>
            <w:tcW w:w="8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did not record a current or deferred income tax expense or benefit for the three months ended March 31, 2020 and 2019, due to the Company’s net and comprehensive losses and increases in its deferred tax asset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and Comprehensive Loss per Share Attributable to Common Stockholders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and comprehensive loss per share attributable to common stockholders for the periods presented:</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466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and comprehensive loss attributable to common</w:t>
            </w:r>
          </w:p>
        </w:tc>
        <w:tc>
          <w:tcPr>
            <w:tcW w:w="6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(3,918,663)</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stockholders</w:t>
            </w:r>
          </w:p>
        </w:tc>
        <w:tc>
          <w:tcPr>
            <w:tcW w:w="640" w:type="dxa"/>
            <w:vAlign w:val="bottom"/>
            <w:gridSpan w:val="2"/>
            <w:vMerge w:val="continue"/>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(8,492,825)</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common shares used in</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computing net and comprehensive loss per share</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40,588,004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attributable to common stockholder, basic and diluted</w:t>
            </w: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and comprehensive loss per share attributable to</w:t>
            </w:r>
          </w:p>
        </w:tc>
        <w:tc>
          <w:tcPr>
            <w:tcW w:w="6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(0.10)</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stockholder, basic and diluted</w:t>
            </w:r>
          </w:p>
        </w:tc>
        <w:tc>
          <w:tcPr>
            <w:tcW w:w="640" w:type="dxa"/>
            <w:vAlign w:val="bottom"/>
            <w:gridSpan w:val="2"/>
            <w:vMerge w:val="continue"/>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Holders of non-vested stock-based compensation awards do not have voting rights.</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following weighted average common stock equivalents were excluded from the calculation of basic and diluted net and comprehensive loss per share attributable to common stockholders for the periods presented because including them would have had an anti-dilutive effect:</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70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516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4,771,960</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5,171,960</w:t>
            </w:r>
          </w:p>
        </w:tc>
        <w:tc>
          <w:tcPr>
            <w:tcW w:w="80" w:type="dxa"/>
            <w:vAlign w:val="bottom"/>
            <w:shd w:val="clear" w:color="auto" w:fill="CFF0FC"/>
          </w:tcPr>
          <w:p>
            <w:pPr>
              <w:spacing w:after="0"/>
              <w:rPr>
                <w:sz w:val="19"/>
                <w:szCs w:val="19"/>
                <w:color w:val="auto"/>
              </w:rPr>
            </w:pPr>
          </w:p>
        </w:tc>
      </w:tr>
      <w:tr>
        <w:trPr>
          <w:trHeight w:val="234"/>
        </w:trPr>
        <w:tc>
          <w:tcPr>
            <w:tcW w:w="516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600,000</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317,562</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March 31, 2020, the Company is a party to one property lease in Cincinnati, Ohio under an arrangement which provides the right to use the underlying asset and require lease payments for the lease term. During the fourth quarter of 2019, the Company terminated its leases in Lexington, Massachusetts and Dexter, Michigan; no penalties were incurred related to these terminations. The Cincinnati, Ohio lease agreement obligates the Company to pay real estate taxes, insurance and certain maintenance costs (hereinafter referred to as non-lease components). The Company’s lease arrangement contains a renewal provision of 5 years, exercisable at the Company's option. The Company’s lease agreement does not contain any material residual value guarantees or material restrictive covenants.</w:t>
      </w:r>
    </w:p>
    <w:p>
      <w:pPr>
        <w:spacing w:after="0" w:line="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determines if an arrangement is an operating lease at inception. Leases with an initial term of 12 months or less are not recorded on the condensed consolidated balance sheet. All other leases are recorded on the balance sheet with a corresponding operating lease asset, net, representing the right to use the underlying asset for the lease term and the operating lease liabilities representing the obligation to make lease payments arising from the lease.</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15" w:name="page16"/>
    <w:bookmarkEnd w:id="15"/>
    <w:p>
      <w:pPr>
        <w:spacing w:after="0" w:line="320" w:lineRule="auto"/>
        <w:rPr>
          <w:sz w:val="20"/>
          <w:szCs w:val="20"/>
          <w:color w:val="auto"/>
        </w:rPr>
      </w:pPr>
      <w:r>
        <w:rPr>
          <w:rFonts w:ascii="Arial" w:cs="Arial" w:eastAsia="Arial" w:hAnsi="Arial"/>
          <w:sz w:val="15"/>
          <w:szCs w:val="15"/>
          <w:color w:val="auto"/>
        </w:rPr>
        <w:t>Operating lease assets and operating lease liabilities are recognized at commencement date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at lease commencement date. Lease agreements with lease and non-lease components are generally accounted for as a single lease component. The Company’s operating lease expense is recognized on a straight-line basis over the lease term and are recorded in general and administrative expenses on the condensed consolidated statements of operations and comprehensive loss.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lease cost and information related to the right-of-use assets and operating lease liabilities:</w:t>
      </w:r>
    </w:p>
    <w:p>
      <w:pPr>
        <w:spacing w:after="0" w:line="218"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Borders>
              <w:bottom w:val="single" w:sz="8" w:color="CFF0FC"/>
            </w:tcBorders>
          </w:tcPr>
          <w:p>
            <w:pPr>
              <w:spacing w:after="0"/>
              <w:rPr>
                <w:sz w:val="15"/>
                <w:szCs w:val="15"/>
                <w:color w:val="auto"/>
              </w:rPr>
            </w:pPr>
          </w:p>
        </w:tc>
        <w:tc>
          <w:tcPr>
            <w:tcW w:w="10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Average rent expense</w:t>
            </w:r>
          </w:p>
        </w:tc>
        <w:tc>
          <w:tcPr>
            <w:tcW w:w="12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28,357</w:t>
            </w:r>
          </w:p>
        </w:tc>
        <w:tc>
          <w:tcPr>
            <w:tcW w:w="240" w:type="dxa"/>
            <w:vAlign w:val="bottom"/>
          </w:tcPr>
          <w:p>
            <w:pPr>
              <w:spacing w:after="0"/>
              <w:rPr>
                <w:sz w:val="23"/>
                <w:szCs w:val="23"/>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62,005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10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Cash paid for amounts included in the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measurement of operating lease liabilities</w:t>
            </w:r>
          </w:p>
        </w:tc>
        <w:tc>
          <w:tcPr>
            <w:tcW w:w="12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29,145</w:t>
            </w:r>
          </w:p>
        </w:tc>
        <w:tc>
          <w:tcPr>
            <w:tcW w:w="240" w:type="dxa"/>
            <w:vAlign w:val="bottom"/>
          </w:tcPr>
          <w:p>
            <w:pPr>
              <w:spacing w:after="0"/>
              <w:rPr>
                <w:sz w:val="21"/>
                <w:szCs w:val="21"/>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62,153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The weighted average remaining lease term</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b w:val="1"/>
                <w:bCs w:val="1"/>
                <w:color w:val="auto"/>
              </w:rPr>
              <w:t>and discount rate at March 31, 2020 and 2019</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Weighted-average discount rate - operating</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leases</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future payments related to operating leases activities are presented in the table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2022 and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 Lease</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Thereafter</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88,635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69,685</w:t>
            </w:r>
          </w:p>
        </w:tc>
        <w:tc>
          <w:tcPr>
            <w:tcW w:w="2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4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Less interest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36"/>
        </w:trPr>
        <w:tc>
          <w:tcPr>
            <w:tcW w:w="3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16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18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20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145,905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Stock Purchase Plan</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March 2017, the Board of Directors adopted and the stockholders approved the Employee Stock Purchase Plan that became effective in April 2017. On June 20, 2018, the Company’s shareholders approved the Amended and Restated 2017 Employee Stock Purchase Plan ("ESPP") at the Annual Meeting of Shareholders. Pursuant to the terms of the ESPP, the Company will reserve for issuance 300,000 shares of the Company's common stock in the aggregate, plus, on January 1, 2019 and each January 1 thereafter through January 1, 2028, the number of shares of the Company's common stock reserved and available for issuance under the ESPP will be cumulatively increased by the least of (i) one percent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 In March 2020, the Company’s Board of Directors approved an increase of 350,000 shares to the ESPP, which increase was effective as of January 1, 2020. No shares under the ESPP are outstanding at March 31, 2020 and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License Agreement</w:t>
      </w:r>
    </w:p>
    <w:p>
      <w:pPr>
        <w:spacing w:after="0" w:line="13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June 24, 2018, the Company entered into a license agreement (the “Gossamer License Agreement”) with a wholly-owned subsidiary of Gossamer Bio, Inc., GB004, Inc., (collectively, “Gossamer”), under which the Company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 Prior to the execution of the Gossamer License Agreement, AKB-4924 was a pipeline program for the Company that completed a Phase 1a clinical trial in healthy volunteers.</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Gossamer is responsible for the development and commercialization of the licensed products, and a joint development committee has been formed to oversee the development and manufacturing activities related to the licensed products. Under the terms of the Gossamer License Agreement, Gossamer is obligated to use its commercially reasonable efforts to develop and commercialize licensed products in the United States, two major European countries and Japan for at least one of the initial indications.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140"/>
        <w:spacing w:after="0" w:line="259" w:lineRule="auto"/>
        <w:rPr>
          <w:sz w:val="20"/>
          <w:szCs w:val="20"/>
          <w:color w:val="auto"/>
        </w:rPr>
      </w:pPr>
      <w:r>
        <w:rPr>
          <w:rFonts w:ascii="Arial" w:cs="Arial" w:eastAsia="Arial" w:hAnsi="Arial"/>
          <w:sz w:val="18"/>
          <w:szCs w:val="18"/>
          <w:color w:val="auto"/>
        </w:rPr>
        <w:t>Gossamer License Agreement includes an exclusivity provision that prohibits the Company from developing, manufacturing or commercializing, and prohibits Gossamer from clinically developing or commercializing certain HIF stabilizing compounds other than as permitted in the Gossamer License Agreement. Pursuant to the terms of the Gossamer License Agreement, Gossamer made an upfront payment to the Company of $20.0 million on June 28, 2018.</w:t>
      </w:r>
    </w:p>
    <w:p>
      <w:pPr>
        <w:spacing w:after="0" w:line="7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is also eligible to receive development, commercial and sales milestone payments, with such payments contingent on the achievement of specified milestones with respect to the first licensed product for each of the first two initial indications. The Company is also eligible to receive tiered royalties on sales of licensed products at percentages ranging from a high-single-digit to mid-teens, subject to certain customary reductions. In addition, under certain circumstances, in lieu of receiving the foregoing milestone payments and royalties, the Company may elect to receive a specified percentage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the Company from exercising this option if the parent company of Gossamer is the entity undergoing the change of control). Conversely, the Company could be required to accept such a specified percentage of those payments if Gossamer agrees to pay the Company a certain minimum upon Gossamer and its stockholders being paid. Such amount may be reduced if the subject transaction includes pharmaceutical candidates or products or other named asset categories in addition to the licensed products.</w:t>
      </w:r>
    </w:p>
    <w:p>
      <w:pPr>
        <w:spacing w:after="0" w:line="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Gossamer License Agreement expires on a licensed-product-by-licensed-product and country-by-country basis on the later of fifteen years from the date of first commercial sale or when there is no longer a valid patent claim covering such licensed product in such country. Either party may terminate the Gossamer License Agreement for an uncured material breach by the other party or upon the bankruptcy or insolvency of the other party. Gossamer may terminate the Gossamer License Agreement in the event Gossamer determines there is a potential safety or efficacy issue with the licensed products. The Company may terminate the Gossamer License Agreement if Gossamer institutes certain actions related to the licensed patents. Under certain termination circumstances, the Company would have worldwide rights to the terminated program.</w:t>
      </w:r>
    </w:p>
    <w:p>
      <w:pPr>
        <w:spacing w:after="0" w:line="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31, 2020 and 2019, all development milestones, sales-based milestones and royalty payments within the Gossamer License Agreement are constrained to the point where no transaction price has been allocated to the future milestones or royalty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April 2019, the Company executed a realignment plan to reduce operating costs and better align its workforce with the needs of its ongoing business and in October 2019, the Company’s Chief Executive Officer and Chief Financial Officer departed from their positions. As a result, the Company recorded employee severance expense of $1.9 million during the year ended December 31, 2019.</w:t>
      </w:r>
    </w:p>
    <w:p>
      <w:pPr>
        <w:spacing w:after="0" w:line="7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Total cash payments against the severance liability was approximately $0.3 million in the three months ended March 31, 2020. The remaining liability as of March 31, 2020 was approximately $0.5 million and is included in accounts payable and accrued expenses in the condensed consolidated balance sheet. These amounts are expected to be substantially paid in cash by October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Quarterly Report on Form 10-Q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58" w:lineRule="exact"/>
        <w:rPr>
          <w:sz w:val="20"/>
          <w:szCs w:val="20"/>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future preclinical and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advance any product candidates into, and successfully complete, clinical studies and obtain regulatory approval for them;</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commercialization, marketing and manufacturing of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and technology;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exploration of strategic alternatives;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880" w:right="14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 and estimates of our expenses, future revenues, capital requirements and our needs for additional financing;</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including with Gossamer, as well as the expected benefits from such collaboration;</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w:t>
      </w:r>
    </w:p>
    <w:p>
      <w:pPr>
        <w:spacing w:after="0" w:line="117" w:lineRule="exact"/>
        <w:rPr>
          <w:rFonts w:ascii="Arial" w:cs="Arial" w:eastAsia="Arial" w:hAnsi="Arial"/>
          <w:sz w:val="18"/>
          <w:szCs w:val="18"/>
          <w:color w:val="auto"/>
        </w:rPr>
      </w:pPr>
    </w:p>
    <w:p>
      <w:pPr>
        <w:ind w:left="880" w:right="68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ultimate impact of the current coronavirus pandemic, or any other health epidemic, on our business, our clinical trials, our research programs, healthcare systems or the global economy as a whole;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or furnished to the U.S. Securities and Exchange Commission (“SEC”) completely and with the understanding that our actual future results may be materially different from any future results expressed or implied by these forward-looking statements.</w:t>
      </w:r>
    </w:p>
    <w:p>
      <w:pPr>
        <w:spacing w:after="0" w:line="77"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The following discussion of the financial condition and results of operations of Aerpio Pharmaceuticals, Inc. should be read in conjunction with the unaudited condensed consolidated financial statements and the notes to those statements included in this Quarterly Report on Form 10-Q as of and for the period ended March 31, 2020 and our audited consolidated financial statements and related notes thereto for the year ended December 31, 2019 included in our Annual Report on Form 10-K for the year ended December 31, 2019, which was filed with the SEC on March 16, 2020. Some of the information contained in this discussion and analysis including information with respect to our plans and strategy for our business, includes forward-looking statements that involve risk, uncertainties and assumptions. You should read the “Risk Factors” section of our Annual Report on Form 10-K for the fiscal year ended December 31, 2019, as updated by the risk factors contained this Quarterly Report on Form 10-Q and our other filings with the SEC, for a discussion of important factors that could cause actual results to differ materially from the results described in or implied by the forward-looking statements contained in the following discussion and analysis.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Aerpio Pharmaceuticals, Inc. is a biopharmaceutical company focused on developing compounds that activate Tie2 to treat ocular diseases and diabetic complications.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March 2019, we announced top line results from our Phase 2b (“TIME-2b”) clinical trial of AKB-9778 for the treatment of non-proliferative diabetic retinopathy. Although the results did not meet the study’s primary endpoint, the TIME-2b study further supported the reduction of intraocular pressure (“IOP”) seen with subcutaneous AKB-9778 in the previous TIME-2 study. Importantly, IOP is the only identifiable modifiable risk factor for prevention of vision loss in patients with open angle glaucoma (“OAG”) and ocular hypertension (“OHT”). Moreover, recently published mouse and human genetic data implicate the Angpt/Tie2 pathway in maintenance of Schlemm’s canal, a critical component of the conventional outflow tract. The conventional outflow tract is the main conduit for the fluid drainage from the front of the eye and the principle regulator of IOP. Based on these findings, we developed a topical ocular formulation of AKB-9778 and observed in preclinical studies activation of Tie2 in Schlemm’s canal, IOP reduction via enhanced outflow facility and favorable tolerability.</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2019, we initiated a double-masked, multiple-ascending dose Phase 1b clinical trial for OAG We enrolled four cohorts of 12 subjects each and subjects received increasing daily doses of a topical ocular formulation of AKB-9778 or placebo for seven days. The primary endpoint of the trial was ocular safety and tolerability, with IOP lowering as the key pharmacodynamic endpoint. In October 2019, we announced interim results from our Phase 1b clinical trial. The unmasked interim analysis, limited to the first three cohorts, showed the topical ocular administration of AKB-9778 was well tolerated. Compared to placebo, there was a dose dependent increase in minimal to mild conjunctival hyperemia with AKB-9778, which was transient and generally considered non-adverse, and a time and dose dependent reduction in IOP that, in the highest once daily (“QD”) dose cohort peaked at 4 hours post-dose and was sustained through eight hours on day 7, returning to baseline levels at 24 hours post-dose. Based on these data, a cohort of 43 patients with OHT/OAG (hypertensive eyes) was added to the ongoing study to assess safety and pilot efficacy in the target patient population.</w:t>
      </w:r>
    </w:p>
    <w:p>
      <w:pPr>
        <w:spacing w:after="0" w:line="5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January 2020, we announced the results of the fifth cohort of subjects noting subjects in cohort five randomized to the active arm exhibited statistically significant decreases in IOP at all post-AKB-9778 administration time points on both days 1 and 7 compared with day -1 baseline values when they were being treated with prostaglandin alone. When the change is placebo-corrected, AKB-9778 plus prostaglandin versus prostaglandin alone produced a statistically significant decrease in IOP on Day 7 at 0, 4 and 8 hours post dose as compared to placebo. We believe these results suggest a persistent IOP-lowering activity from adding AKB-9778 to standard-of-care prostaglandin therapy. Topical ocular administration of AKB-9778 was well tolerated over seven days in cohort five. There were no reports of conjunctival hemorrhage or pain on instillation during the seven days of dosing and no systemic/non-ocular AEs were observed.</w:t>
      </w:r>
    </w:p>
    <w:p>
      <w:pPr>
        <w:spacing w:after="0" w:line="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Based on the preclinical proof of concept and the results of the Phase 1b trial showing a reduction in IOP in patients with OHT and OAG, we are preparing to further advance the glaucoma program into a Phase 2 clinical trial which we expect to initiate in the third quarter of 2020 with results expected in the first quarter of 2021, subject to potential delays in subject enrollment and study completion due to the COVID-19 pandemic.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Diabetic Kidney Disease</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two consecutive trials, TIME-2 and TIME-2b, subcutaneous AKB-9778 showed reduction in Urine Albumin-Creatinine Ratio (“UACR”), a measure of progression of diabetic kidney disease. In a post-hoc analysis of the earlier TIME-2 clinical trial, there was a 21% reduction (geometric mean) in UACR from baseline in the AKB-9778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 We believe that systemic treatment with AKB-9778 could have the potential to change the treatment paradigm for diabetics in the future and potentially address a major societal problem by lowering the cost of care associated generally with diabetes.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ARP-1536</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ARP-1536, our humanized monoclonal antibody directed at the same target as subcutaneous AKB-9778, is in preclinical development. We are evaluating development options for ARP-1536, including subcutaneous injection for the treatment of diabetic vascular complications, e.g., diabetic nephropathy and intravitreal injection as an adjunctive therapy for diabetic macular edema. We are also developing a bispecific antibody that binds both VEGF and VE-PTP which is designed to inhibit VEGF activation and activate Tie2. We believe this bispecific antibody has the potential to be an improved treatment for wet AMD and diabetic macular edema via intravitreal injection.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Gossamer License Agreement</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June 2018, we licensed AKB-4924, a selective stabilizer of hypoxia-inducible factor-1 alpha (“HIF-1 alpha”) to Gossamer Bio, Inc. (“Gossamer”) AKB-4924, (now called GB004), is being developed for the treatment of inflammatory bowel disease (“IBD”). HIF-1 alpha is involved in mucosal wound healing and the reduction of inflammation in the gastrointestinal tract. Gossamer has completed the Phase 1 multiple ascending dose (“MAD”) clinical study and is currently running a Phase 1b clinical study in ulcerative colitis patients. Gossamer has progressed GB004 during 2019 by completing the Phase 1 study in healthy volunteers and initiating a Phase 1b study in ulcerative colitis patients of 28-day duration. Gossamer has announced that it expects to report topline results from the Phase 1b study in the second quarter of 2020. Gossamer is responsible for all remaining development and commercial activities for GB004.</w:t>
      </w:r>
    </w:p>
    <w:p>
      <w:pPr>
        <w:spacing w:after="0" w:line="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April 2019, we adopted a realignment plan to reduce operating costs and better align our workforce with the needs of our ongoing business and in October 2019, our Chief Executive Officer and Chief Financial and Business Officer departed from their positions. As a result, we recorded severance expense of $1.9 million during the year ended December 31, 2019 for employee related costs, including severance benefits and payment of healthcare insurance premiums. Additionally, we recorded a one-time stock-based compensation cumulative reversal of $1.1 million during the year ended December 31, 2019 for the forfeitures of outstanding equity awards. The total remaining liability under these severance-related actions was $0.5 million as of March 31, 2020 and we anticipate that such employee related costs will be paid by the end of the fourth quarter of 2020.</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primary source of liquidity to date has been through public and private sales of our common stock, redeemable convertible preferred stock, convertible debt and the proceeds from the License Agreement entered into with Gossamer (“Gossamer License Agreement”). 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w:t>
      </w:r>
    </w:p>
    <w:p>
      <w:pPr>
        <w:spacing w:after="0" w:line="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as a result of our ongoing activities. 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Except for the Gossamer License Agreement that we entered into with Gossamer in June 2018, our operations to date have been limited to organizing and staffing our Company, business planning, raising capital, acquiring and developing our technology, identifying potential product candidates and undertaking preclinical and clinical studies. There can be no assurance of future revenues either from future payments related to the Gossamer License Agreement, transition services or from our product candidates. Our product candidates are subject to long development cycles, and there is no assurance we will be able to successfully develop, obtain regulatory approval for, or market our product candidates. As of March 31, 2020, we had an accumulated deficit of $146.2 million and anticipate incurring additional losses for the next several years.</w:t>
      </w:r>
    </w:p>
    <w:p>
      <w:pPr>
        <w:spacing w:after="0" w:line="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$34.6 million at March 31, 2020 and financial condition as of this Quarterly Report on Form 10-Q, we believe our existing cash and cash equivalent will be sufficient to fund currently planned operations through at least the second quarter of 2021.</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11, 2020, the World Health Organization declared the outbreak of a novel strain of coronavirus, COVID-19, as a global pandemic, which continues to spread throughout the United States and around the world. The COVID-19 pandemic is evolving, and to date has led to the implementation of various responses, including government-imposed quarantines, stay at home orders, travel restrictions, mandated business closures and other public health safety measures. In addition, in response to the spread of COVID-19,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20"/>
        <w:spacing w:after="0" w:line="253" w:lineRule="auto"/>
        <w:rPr>
          <w:sz w:val="20"/>
          <w:szCs w:val="20"/>
          <w:color w:val="auto"/>
        </w:rPr>
      </w:pPr>
      <w:r>
        <w:rPr>
          <w:rFonts w:ascii="Arial" w:cs="Arial" w:eastAsia="Arial" w:hAnsi="Arial"/>
          <w:sz w:val="18"/>
          <w:szCs w:val="18"/>
          <w:color w:val="auto"/>
        </w:rPr>
        <w:t>we have closed our executive offices with our employees continuing their work outside of our offices. We are closely monitoring the impact of COVID-19 on all aspects of our business, including how it may impact our planned Phase 2 clinical trial for our glaucoma program, expected timelines and costs on an ongoing basis. We do not yet know the full extent of potential delays or the impact on our business, our planned clinical trial, our research programs, healthcare systems or the global economy and we cannot presently predict the scope and severity of any potential business shutdowns or disruptions. The extent to which COVID-19 impacts our business, results of operations and financial condition will depend on future developments, which are highly uncertain and cannot be predicted with confidence, such as the duration of the outbreak, new information that may emerge concerning the severity of COVID-19 or the effectiveness of actions to contain COVID-19 or treat its impact, among others. If we or any of the third parties with whom we engage, however, were to experience shutdowns or other business disruptions, our ability to conduct our business in the manner and on the timelines presently planned could be materially or negatively affected, which could have a material adverse impact on our business, results of operation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discussion highlights the Company’s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the condensed consolidated statements of operation and comprehensive loss presented herein. The following discussion and analysis are based on the Company’s condensed consolidated financial statements contained in this Quarterly Report on Form 10-Q, which we have prepared in accordance with U.S. generally accepted accounting principles (“U.S. GAAP” or “GAAP”). You should read the discussion and analysis together with such condensed consolidated financial statements and the related notes thereto.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Statements of Operations and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Research and development expenses are expensed as incurred. Research and development expenses consist primarily of (i) employee-related expenses, including salaries, benefits, travel, and stock-based compensation expense, (ii) external research and development expenses incurred under arrangements with third parties, such as contract research organizations (“CRO’s”) and consultants, (iii) the cost of acquiring, developing, and manufacturing clinical study materials, and (iv) costs associated with preclinical, clinical and regulatory activities.</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Costs for certain development activities are recognized based on an evaluation of the progress to completion of specific tasks using information and data provided to us by our vendors and clinical sites.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we continue to invest in basic research and clinical development of our product candidates, we expect research and development expenses to increase in absolute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General and administrative expenses consist primarily of compensation and related costs for our finance, human resources and other administrative personnel, including stock-based compensation, employee benefits and travel. In addition, general and administrative expenses include third-party consulting, legal, patent, audit, accounting services and facilities costs. We expect to continue to incur general and administrative expenses due to additional legal, accounting, insurance, investor relations and other costs associated with being a public company, as well as other costs associated with growing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income received on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9"/>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24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1,829,042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5,586,251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2,285,891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3,255,042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ind w:left="1700"/>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4,114,933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8,841,293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(4,114,933)</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(8,841,293)</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Grant income</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79,900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116,370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333,120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ind w:left="1700"/>
              <w:spacing w:after="0"/>
              <w:rPr>
                <w:sz w:val="20"/>
                <w:szCs w:val="20"/>
                <w:color w:val="auto"/>
              </w:rPr>
            </w:pPr>
            <w:r>
              <w:rPr>
                <w:rFonts w:ascii="Arial" w:cs="Arial" w:eastAsia="Arial" w:hAnsi="Arial"/>
                <w:sz w:val="18"/>
                <w:szCs w:val="18"/>
                <w:color w:val="auto"/>
              </w:rPr>
              <w:t>Total other income</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196,270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348,468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(3,918,663)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(8,492,825)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Three Months Ended March 31, 2020 and 2019</w:t>
            </w: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Operating Expenses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9"/>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24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1,829,042</w:t>
            </w:r>
          </w:p>
        </w:tc>
        <w:tc>
          <w:tcPr>
            <w:tcW w:w="12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5,586,251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2,285,891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3,255,042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4,114,933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gridSpan w:val="2"/>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8,841,293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Research and development expenses for the three months ended March 31, 2020 decreased approximately $3.8 million or 67.3%, compared to the three months ended March 31, 2019. This was the result of decreased spending on AKB-9778, offset by spending related to the Glaucoma Phase 1b clinical trial, which commenced during the second quarter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General and administrative expenses for the three months ended March 31, 2020, decreased approximately $1.0 million, or 29.8%, compared to the three months ended March 31, 2019. This decrease was primarily attributable to a decrease in employee related expenses of $0.3 million, legal expenses of $0.2 million, stock-based compensation of $0.3 million and general office expenses of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5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Grant income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79,900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15,348</w:t>
            </w:r>
          </w:p>
        </w:tc>
        <w:tc>
          <w:tcPr>
            <w:tcW w:w="8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116,370</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333,120</w:t>
            </w:r>
          </w:p>
        </w:tc>
        <w:tc>
          <w:tcPr>
            <w:tcW w:w="8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196,270</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348,468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in the three months ended March 31, 2020 and 2019, reflects interest earned on short term money market instruments. The net proceeds from our underwritten public offering in June 2018 and upfront payment received in conjunction with the execution of the Gossamer License Agreement in June 2018, less cash used in operations, were available for investment. The decrease in interest income was due to lower cash balances at March 31, 2020, compared to the prior year.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Since inception, we have incurred significant net and comprehensive losses and negative cash flows from operations. For the three months ended March 31, 2020 and 2019, we had net and comprehensive loss of $3.9 million and $8.5 million, respectively. At March 31, 2020 and December 31, 2019, we had an accumulated deficit of $146.2 million and $142.2 million, respectively.</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March 31, 2020, we had cash and cash equivalents of $34.6 million. To date, we have financed our operations principally through private and public offerings of our equity securities, private placements of our redeemable convertible preferred stock, common stock, issuances of secured convertible promissory notes and proceeds from the Gossamer License Agreement. Based on our current plans</w:t>
      </w:r>
      <w:r>
        <w:rPr>
          <w:rFonts w:ascii="Arial" w:cs="Arial" w:eastAsia="Arial" w:hAnsi="Arial"/>
          <w:sz w:val="18"/>
          <w:szCs w:val="18"/>
          <w:b w:val="1"/>
          <w:bCs w:val="1"/>
          <w:color w:val="auto"/>
        </w:rPr>
        <w:t>,</w:t>
      </w:r>
      <w:r>
        <w:rPr>
          <w:rFonts w:ascii="Arial" w:cs="Arial" w:eastAsia="Arial" w:hAnsi="Arial"/>
          <w:sz w:val="18"/>
          <w:szCs w:val="18"/>
          <w:color w:val="auto"/>
        </w:rPr>
        <w:t xml:space="preserve"> we expect that our existing cash and cash equivalents, will enable us to conduct our planned operations through at least the second quarter of 2021.</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2018, we filed a shelf registration statement on Form S-3 with the SEC which was declared effective by the Securities and Exchange Commission on April 11, 2018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Additionally, on February 21, 2018, and pursuant to the Form S-3, we entered into a Controlled Equity Offering Sales Agreement (the “Sales Agreement”) with Cantor Fitzgerald &amp; Co. (“Cantor”), pursuant to which we may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to be sold under the Sales Agreement will be sold and issued pursuant to the Form S-3 and the related prospectus and one or more prospectus supplements. We will pay Cantor 3.0% of the aggregate gross proceeds from each sale of shares of common stock under the Sales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no shares of common stock had been sold under this Sales Agreement.</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October 2019, we announced the engagement of Evercore, Ladenburg Thalmann &amp; Co. Inc. and Duane Nash, M.D., J.D., M.B.A. to explore a range of strategic alternatives focused on maximizing stockholder value from our clinical assets and cash resources. Such alternatives may include the potential for an acquisition, company sale, merger, business combination, asset sale, in-license, out-license or other strategic transaction. The Company continues to explore strategic alternatives; however, there can be no assurance that the exploration of strategic alternatives will result in any transaction or other alternative.</w:t>
      </w:r>
    </w:p>
    <w:p>
      <w:pPr>
        <w:spacing w:after="0" w:line="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Market volatility resulting from COVID-19 pandemic or other factors could also adversely impact our ability to access capital as and when needed.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50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(3,939,826)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(9,078,195)</w:t>
            </w:r>
          </w:p>
        </w:tc>
        <w:tc>
          <w:tcPr>
            <w:tcW w:w="8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(113,283)</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(3,939,826)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(9,191,478)</w:t>
            </w: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historically experienced negative cash outflows as we developed AKB-9778, ARP-1536 and AKB-4924. Our net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our product candidates in the clinic and other operating and general administrative activities.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line="301" w:lineRule="auto"/>
        <w:rPr>
          <w:sz w:val="20"/>
          <w:szCs w:val="20"/>
          <w:color w:val="auto"/>
        </w:rPr>
      </w:pPr>
      <w:r>
        <w:rPr>
          <w:rFonts w:ascii="Arial" w:cs="Arial" w:eastAsia="Arial" w:hAnsi="Arial"/>
          <w:sz w:val="16"/>
          <w:szCs w:val="16"/>
          <w:color w:val="auto"/>
        </w:rPr>
        <w:t>For the three months ended March 31, 2020, operating activities used $3.9 million in cash as result of $0.4 million of decrease in working capital and a net loss of approximately $3.9 million, offset by $0.4 million in non-cash expenses related to stock-based compensation and depreciation expense. For the three months ended March 31, 2019, operating activities used $9.1 million in cash as a result of $1.2 million of decrease in working capital and a net loss of $8.5 million, offset by $0.6 million in non-cash expenses that consisted of stock-based compensation expense and depreciation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Cash used in investing activities for the three months ended March 31, 2018 was related to capital expenditures to support operations. There were no investing cash flows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financing cash flows during the three months ended March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have been no material changes outside the ordinary course of business during the period covered by this Quarterly Report on Form 10-Q from the contractual obligations and commitments as of December 31, 2019 as described in our Annual Report on Form 10-K filed with the SEC on March 16,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2020 and December 31, 2019, we did not have any off-balance sheet arrangements as defined by applicable SEC regulations.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believe that the assumptions and estimates have the greatest potential impact on our condensed consolidated financial statements. Therefore, we consider these to be our critical accounting policies and estimates.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on all our significant accounting policies, see the notes to our condensed consolidated financial statements appearing elsewhere in this Quarterly Report on Form 10-Q and our Annual Report on Form 10-K filed with the SEC on March 16,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are an “emerging growth company” within the meaning of the Jumpstart Our Business Startups Act of 2012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Under the supervision of and with the participation of our management, including our principal executive officer and our principal financial officer, we conducted an evaluation of the effectiveness of our disclosure controls and procedures as of March 31, 2020, the end of the period covered by this Quarterly Report on Form 10-Q. The term “disclosure controls and procedures,” as set forth in Rules 13a-15(e) and 15d-15(e) under the Securities Exchange Act of 1934, as amended, or the Exchange Act, means controls and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280"/>
        <w:spacing w:after="0" w:line="296" w:lineRule="auto"/>
        <w:rPr>
          <w:sz w:val="20"/>
          <w:szCs w:val="20"/>
          <w:color w:val="auto"/>
        </w:rPr>
      </w:pPr>
      <w:r>
        <w:rPr>
          <w:rFonts w:ascii="Arial" w:cs="Arial" w:eastAsia="Arial" w:hAnsi="Arial"/>
          <w:sz w:val="16"/>
          <w:szCs w:val="16"/>
          <w:color w:val="auto"/>
        </w:rPr>
        <w:t>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5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Changes in Internal Control over Financial Reporting</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222222"/>
        </w:rPr>
        <w:t>During the quarter ended March 31, 2020,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As of the date of this Quarterly Report on Form 10-Q, we are not currently involved in any material legal proceedings.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20"/>
        <w:spacing w:after="0" w:line="296" w:lineRule="auto"/>
        <w:rPr>
          <w:sz w:val="20"/>
          <w:szCs w:val="20"/>
          <w:color w:val="auto"/>
        </w:rPr>
      </w:pPr>
      <w:r>
        <w:rPr>
          <w:rFonts w:ascii="Arial" w:cs="Arial" w:eastAsia="Arial" w:hAnsi="Arial"/>
          <w:sz w:val="16"/>
          <w:szCs w:val="16"/>
          <w:i w:val="1"/>
          <w:iCs w:val="1"/>
          <w:color w:val="auto"/>
        </w:rPr>
        <w:t>The following risk factors and other information included in this Quarterly Report on Form 10-Q and in other documents that we file with the SEC should be carefully considered. The risks and uncertainties described below are not intended to be exhaustive and are not the only ones we face. Additional risks and uncertainties not presently known to us or that we presently deem less significant may also impair our business operations. Please see page 17 of this Quarterly Report on Form 10-Q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incurred net and comprehensive losses each year since our inception, with the exception of the three months ended September 30, 2018 as a result of the upfront Gossamer payment discussed above. For the three months ended March 31, 2020, we incurred net and comprehensive loss of $3.9 million, compared to net and comprehensive loss of $8.5 million for the three months ended March 31, 2019. As of March 31, 2020, we had an accumulated deficit of $146.2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5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ability to obtain funding through equity or debt financings, strategic collaborations or grants. In June 2019 we initiated a Phase 1b clinical trial for our lead product candidate, AKB-9778, for a topical drop formulation to treat open angle glaucoma and ocular hypertension. Our other product candidates, including ARP-1536, are in preclinical development. As a result, we expect that it will be several years, if ever, before we have a product candidate ready for commercialization. Even if we obtain regulatory approval to market AKB-9778 or any of our other product candidates, our future revenues will depend upon the size of any markets in which AKB-9778 or any of our other product candidates has received approval, our ability to achieve sufficient market acceptance, reimbursement from third-party payors and other factors.</w:t>
      </w:r>
    </w:p>
    <w:p>
      <w:pPr>
        <w:spacing w:after="0" w:line="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likely increase significantly if and as we:</w:t>
      </w:r>
    </w:p>
    <w:p>
      <w:pPr>
        <w:spacing w:after="0" w:line="62" w:lineRule="exact"/>
        <w:rPr>
          <w:sz w:val="20"/>
          <w:szCs w:val="20"/>
          <w:color w:val="auto"/>
        </w:rPr>
      </w:pPr>
    </w:p>
    <w:p>
      <w:pPr>
        <w:ind w:left="880" w:right="2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a topical drop formulation of AKB-9778 for the treatment of open angle glaucoma and ocular hypertension, including as we plan to advance into a Phase 2 clinical trial of this product candidate;</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our product candidates manufactured for clinical trials and for commercial sale;</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42"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initiate additional preclinical, clinical or other studies for AKB-9778, ARP-1536 and other product candidates that we may develop or acquire;</w:t>
      </w:r>
    </w:p>
    <w:p>
      <w:pPr>
        <w:spacing w:after="0" w:line="153" w:lineRule="exact"/>
        <w:rPr>
          <w:rFonts w:ascii="Arial" w:cs="Arial" w:eastAsia="Arial" w:hAnsi="Arial"/>
          <w:sz w:val="16"/>
          <w:szCs w:val="16"/>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or in-license other commercial products, product candidates and technologies;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and retain skilled personnel; and</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300"/>
        <w:spacing w:after="0" w:line="301"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(“FDA”) the European Medicines Agency (“EMA”) or other regulatory authorities to perform studies in addition to those currently expected, or if there are any delays in completing our clinical trials or the development of any of our product candidates, our expenses could increase.</w:t>
      </w:r>
    </w:p>
    <w:p>
      <w:pPr>
        <w:spacing w:after="0" w:line="4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net and comprehensive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March 31, 2020, our cash and cash equivalents were $34.6 million. We believe that we will continue to expend substantial resources for the foreseeable future developing AKB-9778 for the indications that we are pursuing, such as OAG and ocular hypertension. Additionally, we expect to expend substantial resources to further develop ARP-1536. We may also expend substantial resources to develop any other product candidates that we may develop or acquire.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880" w:right="300" w:hanging="373"/>
        <w:spacing w:after="0" w:line="26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results and cost of commencing our planned Phase 2 program of AKB-9778 for open angle glaucoma and ocular hypertension and our operating costs incurred as we conduct these trials, including any unforeseen costs we may incur as a result of clinical trial delays due to the COVID-19 pandemic or other causes;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size, rate of progress, results and costs of initiating and completing additional development of AKB-9778;</w:t>
      </w:r>
    </w:p>
    <w:p>
      <w:pPr>
        <w:spacing w:after="0" w:line="117" w:lineRule="exact"/>
        <w:rPr>
          <w:rFonts w:ascii="Arial" w:cs="Arial" w:eastAsia="Arial" w:hAnsi="Arial"/>
          <w:sz w:val="18"/>
          <w:szCs w:val="18"/>
          <w:color w:val="auto"/>
        </w:rPr>
      </w:pPr>
    </w:p>
    <w:p>
      <w:pPr>
        <w:ind w:left="880" w:right="180" w:hanging="373"/>
        <w:spacing w:after="0" w:line="26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assuming favorable clinical results, the cost, timing and outcome of our efforts to obtain marketing approval for AKB-9778 in the United States, Europe and in other jurisdictions, including to fund the preparation and filing of regulatory submissions for AKB-9778 with the FDA, the EMA and other regulatory authorities;</w:t>
      </w:r>
    </w:p>
    <w:p>
      <w:pPr>
        <w:spacing w:after="0" w:line="75"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that we may undertake for ARP-1536 and any other product candidates that we may develop or acquire;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regulatory approvals for ARP-1536 if clinical trials of this product candidate are successful;</w:t>
      </w:r>
    </w:p>
    <w:p>
      <w:pPr>
        <w:spacing w:after="0" w:line="140" w:lineRule="exact"/>
        <w:rPr>
          <w:rFonts w:ascii="Arial" w:cs="Arial" w:eastAsia="Arial" w:hAnsi="Arial"/>
          <w:sz w:val="16"/>
          <w:szCs w:val="16"/>
          <w:color w:val="auto"/>
        </w:rPr>
      </w:pPr>
    </w:p>
    <w:p>
      <w:pPr>
        <w:ind w:left="880" w:right="58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880" w:right="74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having our product candidates manufactured for clinical trials in preparation for regulatory approval and in preparation for commercialization;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agreements; and</w:t>
      </w:r>
    </w:p>
    <w:p>
      <w:pPr>
        <w:spacing w:after="0" w:line="140" w:lineRule="exact"/>
        <w:rPr>
          <w:rFonts w:ascii="Arial" w:cs="Arial" w:eastAsia="Arial" w:hAnsi="Arial"/>
          <w:sz w:val="16"/>
          <w:szCs w:val="16"/>
          <w:color w:val="auto"/>
        </w:rPr>
      </w:pPr>
    </w:p>
    <w:p>
      <w:pPr>
        <w:ind w:left="880" w:right="24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right="140"/>
        <w:spacing w:after="0" w:line="289" w:lineRule="auto"/>
        <w:rPr>
          <w:sz w:val="20"/>
          <w:szCs w:val="20"/>
          <w:color w:val="auto"/>
        </w:rPr>
      </w:pPr>
      <w:r>
        <w:rPr>
          <w:rFonts w:ascii="Arial" w:cs="Arial" w:eastAsia="Arial" w:hAnsi="Arial"/>
          <w:sz w:val="16"/>
          <w:szCs w:val="16"/>
          <w:color w:val="auto"/>
        </w:rPr>
        <w:t>Based on our current operating plan, and absent any future financings or strategic partnerships, we believe that our existing cash and cash equivalents will be sufficient to fund our projected operating expenses and capital expenditure requirements through at least the second quarter of 2021.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 Additional funds may not be available when we need them on terms that are acceptable to us, or at all. Market volatility resulting from the COVID-19 pandemic or other factors could also adversely impact our ability to access capital as and when needed. If adequate funds are not available to us on a timely basis, we may be required to delay, limit, reduce or terminate preclinical studies, clinical trials or other development activities for AKB-9778, ARP-1536 or any other product candidates that we develop or acquire, or delay, limit, reduce or terminate our establishment of sales and marketing capabilities or other activities that may be necessary to commercialize our product candidates.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6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April 2019, we adopted a realignment plan to reduce operating costs and better align our workforce with the needs of our ongoing business. The realignment plan reduced our workforce by 11 employees, representing approximately 41% of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w:t>
      </w:r>
    </w:p>
    <w:p>
      <w:pPr>
        <w:spacing w:after="0" w:line="16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cannot assure you that our exploration of strategic alternatives will result in a transaction or that any such transaction would be successful, and the process of exploring strategic alternatives or its conclusion could adversely impact our business and our stock price.</w:t>
      </w:r>
    </w:p>
    <w:p>
      <w:pPr>
        <w:spacing w:after="0" w:line="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October 2019, we announced the engagement of Evercore, Ladenburg Thalmann &amp; Co. Inc. and Duane Nash, M.D., J.D., M.B.A. to assist us in identifying and evaluating a range of potential strategic alternatives, including an acquisition, company sale, merger, business combination, asset sale, in-license, out-license or other strategic transaction. This strategic alternative process is ongoing. There can be no assurances that the strategic alternatives process will result in the announcement or consummation of any strategic transaction, or that any resulting plans or transactions will yield additional value for shareholders. Any potential transaction would be dependent on a number of factors that may be beyond our control, including, among other things, market conditions, industry trends, the interest of third parties in a potential transaction with us and the availability of financing to potential buyers on reasonable terms.</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process of exploring strategic alternatives could adversely impact our business, financial condition and results of operations. We could incur substantial expenses associated with identifying and evaluating potential strategic alternatives, including those related to equity compensation, severance pay and legal, accounting and financial advisory fees. In addition, the process may be time consuming and disruptive to our business operations, could divert the attention of management and the Board of Directors from our business, could negatively impact our ability to attract, retain and motivate key employees, and could expose us to potential litigation in connection with this process or any resulting transaction. Further, speculation regarding any developments related to the review of strategic alternatives and perceived uncertainties related to the future of the Company could cause our stock price to fluctuate significantly.</w:t>
      </w:r>
    </w:p>
    <w:p>
      <w:pPr>
        <w:spacing w:after="0" w:line="19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For example, in June 2018, we entered into a license agreement with Gossamer for the development and commercialization of AKB-4924. If we are unable to raise additional funds through equity or debt financing when needed, we may be required to delay, limit, reduce or terminate our product development or commercialization efforts for AKB-9778, ARP-1536 or any other product candidates that we develop or acquire, or grant rights to develop and market product candidates that we would otherwise prefer to develop and market ourselves.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two product candidates that we are developing internally,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Clinical Development, Regulatory Review and Approval of Product Candidates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our lead product candidate, AKB-9778. Even if we obtain favorable clinical results, we may not be able to obtain regulatory approval for, or successfully commercialize, AKB-9778.</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rely on our lead product candidate, AKB-9778, and our business depends almost entirely on the successful clinical development, regulatory approval and commercialization of that product candidate, which may never occur. In March 2019, we announced top line results of the Phase 2b clinical trial for AKB-9778 in the treatment of non-proliferative diabetic retinopathy. While we believed AKB-9778 had the potential to slow down or possibly reverse retinal vascular changes caused by diabetes, the subcutaneous administration of AKB-9778 twice daily did not meet the study’s primary endpoint of the percentage of patients with an improvement of two or more steps in diabetic retinopathy severity score (DRSS) in the study eye, compared to placebo. In June 2019, we initiated a Phase 1b clinical trial for our lead product candidate, AKB-9778, for a topical drop formulation to treat open angle glaucoma and ocular hypertension. In October 2019, we announced interim results from its Phase 1b clinical trial. The unmasked interim analysis, limited to the first three cohorts, shows the topical ocular administration of AKB-9778 was well tolerated. Compared to placebo, there was a dose dependent increase in minimal to mild conjunctival hyperemia with AKB-9778, which was transient and generally considered non-adverse, and a time and dose dependent reduction IOP that, in the highest QD dose cohort peaked at 4 hours post-dose and was sustained through eight hours on day 7, returning to baseline levels at 24 hours post-dose. Based on these data, a cohort of up to 36 patients with OHT/OAG (hypertensive eyes) was added to the ongoing study to assess safety and pilot efficacy in the target patient population, and results were announced in January 2020. These results showed statistically significant decreases in IOP on Day 1 and Day 7 compared to prostaglandin alone. When compared to placebo, AKB-9778 plus prostaglandin produced a statistically significant decrease in IOP versus prostaglandin alone on Day 7. Topical ocular administration of AKB-9778 was well-tolerated over seven days, with 21.9% of subjects experiencing hyperemia compared with 9.1% of subjects in the prostaglandin alone arm. Based on the preclinical proof of concept and the results of the Phase 1b trial showing a reduction in IOP in patients with OHT and OAG, we are planning to further advance the glaucoma program into a Phase 2 clinical trial. We expect to initiate our Phase 2 clinical trial in the third quarter of 2020 with results expected in the first quarter of 2021, subject to potential delays in subject enrollment and study completion due to the COVID-19 pandemic.</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currently have no products for sale, generate no revenues from sales of any drugs, and may never be able to develop marketable products. AKB-9778 will require substantial additional clinical development, testing, manufacturing process development, and regulatory approval before we are permitted to commence its commercialization. We are currently evaluating development options for ARP-1536, which is our other product candidate that we are developing internally. None of our product candidates has advanced into a pivotal trial, and it may be years before such a trial is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AKB-9778.</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40"/>
        <w:spacing w:after="0" w:line="269" w:lineRule="auto"/>
        <w:rPr>
          <w:sz w:val="20"/>
          <w:szCs w:val="20"/>
          <w:color w:val="auto"/>
        </w:rPr>
      </w:pPr>
      <w:r>
        <w:rPr>
          <w:rFonts w:ascii="Arial" w:cs="Arial" w:eastAsia="Arial" w:hAnsi="Arial"/>
          <w:sz w:val="17"/>
          <w:szCs w:val="17"/>
          <w:color w:val="auto"/>
        </w:rPr>
        <w:t>We are not permitted to market AKB-9778 in the United States until we receive approval of an NDA from the FDA, or in any foreign countries until we receive the requisite approval from such countries. As a condition to submitting an NDA to the FDA for AKB-9778, we must complete our ongoing clinical trial, Phase 2 and 3 trials, and any additional nonclinical studies or clinical trials required by the FDA. To date, we have not completed any clinical trials of AKB-9778 for open angle glaucoma or ocular hypertension. AKB-9778 may not be successful in clinical trials or receive regulatory approval. Further, AKB-9778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AKB-9778 will never obtain regulatory approval. The FDA may delay, limit or deny approval of AKB-9778 for many reasons, including, among others:</w:t>
      </w:r>
    </w:p>
    <w:p>
      <w:pPr>
        <w:spacing w:after="0" w:line="74" w:lineRule="exact"/>
        <w:rPr>
          <w:sz w:val="20"/>
          <w:szCs w:val="20"/>
          <w:color w:val="auto"/>
        </w:rPr>
      </w:pPr>
    </w:p>
    <w:p>
      <w:pPr>
        <w:ind w:left="880" w:right="12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demonstrate that AKB-9778 is safe and effective in treating patients with open angle glaucoma and ocular hypertension to the satisfaction of the FDA;</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AKB-9778;</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contract research organizations (“CROs”) or the clinical investigators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our CROs or clinical investigators may fail to perform in accordance with the FDA’s good clinical practice (“GCP”)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FDA may find deficiencies with the manufacturing processes or facilities of third-party manufacturers with which we contract; or</w:t>
      </w:r>
    </w:p>
    <w:p>
      <w:pPr>
        <w:spacing w:after="0" w:line="128" w:lineRule="exact"/>
        <w:rPr>
          <w:rFonts w:ascii="Arial" w:cs="Arial" w:eastAsia="Arial" w:hAnsi="Arial"/>
          <w:sz w:val="17"/>
          <w:szCs w:val="17"/>
          <w:color w:val="auto"/>
        </w:rPr>
      </w:pPr>
    </w:p>
    <w:p>
      <w:pPr>
        <w:ind w:left="880" w:right="46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may require that we amend or submit new clinical protocols.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addition, similar reasons may cause the EMA or other regulatory authorities to delay, limit or deny approval of AKB-9778 outside the United States.</w:t>
      </w:r>
    </w:p>
    <w:p>
      <w:pPr>
        <w:spacing w:after="0" w:line="1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AKB-9778. Because our business is substantially dependent upon AKB-9778, any such setback in our pursuit of regulatory approval would have a material adverse effect on our business and prospects.</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(“REMS”) for a product, which could impose restrictions on its distribution. Any of the foregoing scenarios could materially harm the commercial prospects for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obtained agreement with the FDA, EMA or other regulatory authorities on the design of our development programs.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not obtained agreement with the FDA on the design of our planned development programs for AKB-9778 or any other product candidate. As we progress this candidate through clinical trials, the FDA may determine that we would be required to conduct additional clinical trials. The FDA could also disagree with our proposed design of our planned development programs and could suggest a larger number of subjects or a longer course of treatment than our current expectations. If the FDA takes such positions, the costs of our AKB-9778 development program could increase materially and the potential market introduction of AKB-9778 could be delayed or we could risk not obtaining FDA approval even if our clinical trials meet their primary endpoints. The FDA also may require that we conduct additional clinical, nonclinical or manufacturing validation studies and submit that data before it will consider an NDA application.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line="301" w:lineRule="auto"/>
        <w:rPr>
          <w:sz w:val="20"/>
          <w:szCs w:val="20"/>
          <w:color w:val="auto"/>
        </w:rPr>
      </w:pPr>
      <w:r>
        <w:rPr>
          <w:rFonts w:ascii="Arial" w:cs="Arial" w:eastAsia="Arial" w:hAnsi="Arial"/>
          <w:sz w:val="16"/>
          <w:szCs w:val="16"/>
          <w:color w:val="auto"/>
        </w:rPr>
        <w:t>We have not yet sought guidance for the regulatory path for the topical formulation of AKB-9778 for open angle glaucoma and ocular hypertension with the FDA, EMA or other regulatory authorities. We cannot predict what additional requirements may be imposed by these regulatory authorities or how such requirements might delay or increase costs for our planned development programs. Because our business is almost entirely dependent upon the successful development, regulatory approval, and commercialization of AKB-9778, any such delay or increase in costs would have an adverse effect on our business.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pandemic of COVID-19 and the future outbreak of other highly infectious or contagious diseases could seriously harm our research, development and potential future commercialization efforts, increase our costs and expenses and have a material adverse effect on our business, financial condition and results of operations.</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Broad-based business or economic disruptions could adversely affect our ongoing or planned research and development activities. For example, in December 2019, an outbreak of a novel strain of coronavirus originated in Wuhan, China, and has since spread to a number of other countries, including the U.S. To date, the COVID-19 pandemic has caused significant disruptions to the U.S. and global economy and has contributed to significant volatility and negative pressure in financial markets. The global impact of the outbreak is continually evolving and, as additional cases of the virus are identified, many countries, including the U.S., have reacted by instituting quarantines, restrictions on travel and mandatory closures of businesses. Certain states and cities, including where we or the third parties with whom we engage operate, have also reacted by instituting quarantines, restrictions on travel, “shelter in place” rules, restrictions on types of business that may continue to operate, and/or restrictions on the types of construction projects that may continue.</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extent to which COVID-19 may impact our preclinical studies or clinical trial operations will depend on future developments, which are highly uncertain and cannot be predicted with confidence, such as the duration of the outbreak, the severity of COVID-19, or the effectiveness of actions to contain and treat COVID-19. The continued spread of COVID-19 globally could adversely impact our preclinical studies or clinical trial operations in the United States, including our ability to recruit and retain patients and principal investigators and site staff who, as healthcare providers, may have heightened exposure to COVID-19 if an outbreak occurs in their geography. COVID-19 may also affect employees of third-party CROs located in affected geographies that we rely upon to carry out our clinical trials. Any negative impact COVID-19 has to patient enrollment or treatment or the execution of our current product candidates and any future product candidates could cause costly delays to clinical trial activities, which could adversely affect our ability to obtain regulatory approval for and to commercialize our current product candidate and any future product candidates, increase our operating expenses, and have a material adverse effect on our financial results.</w:t>
      </w:r>
    </w:p>
    <w:p>
      <w:pPr>
        <w:spacing w:after="0" w:line="7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Further, the COVID-19 outbreak may delay enrollment in our clinical trials due to diversion or prioritization of trial site resources away from the conduct of clinical trials and toward the COVID-19 pandemic. Key clinical trial activities, such as site monitoring, may be interrupted due to restrictions in travel, and some patients may be unwilling to enroll in our trials or be unable to comply with clinical trial protocols if quarantines or travel restrictions impede patient movement or interrupt healthcare services, which would delay our ability to conduct clinical trials or release clinical trial results. The spread of COVID-19, or another infectious disease, could also negatively affect the operations at our third-party manufacturers, which could result in delays or disruptions in the supply of our current product candidates and any future product candidates. In addition, we may take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timely enrollment in our clinical trials is dependent upon clinical trial sites which may be adversely affected by global health matters, such as pandemics. For example, we are currently planning to conduct a Phase 2 clinical trial for AKB-9778, and our trial sites may be located in geographies that may be affected by the coronavirus. Some factors from the coronavirus outbreak that may adversely affect enrollment in the clinical trials of our product candidates include:</w:t>
      </w:r>
    </w:p>
    <w:p>
      <w:pPr>
        <w:spacing w:after="0" w:line="79" w:lineRule="exact"/>
        <w:rPr>
          <w:sz w:val="20"/>
          <w:szCs w:val="20"/>
          <w:color w:val="auto"/>
        </w:rPr>
      </w:pPr>
    </w:p>
    <w:p>
      <w:pPr>
        <w:ind w:left="740" w:right="140" w:hanging="368"/>
        <w:spacing w:after="0" w:line="263"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740" w:right="100" w:hanging="368"/>
        <w:spacing w:after="0" w:line="308"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and delay or inability to secure visas or entry permission, as applicable;</w:t>
      </w:r>
    </w:p>
    <w:p>
      <w:pPr>
        <w:spacing w:after="0" w:line="38" w:lineRule="exact"/>
        <w:rPr>
          <w:rFonts w:ascii="Arial" w:cs="Arial" w:eastAsia="Arial" w:hAnsi="Arial"/>
          <w:sz w:val="17"/>
          <w:szCs w:val="17"/>
          <w:color w:val="auto"/>
        </w:rPr>
      </w:pPr>
    </w:p>
    <w:p>
      <w:pPr>
        <w:ind w:left="740" w:right="68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 and</w:t>
      </w:r>
    </w:p>
    <w:p>
      <w:pPr>
        <w:spacing w:after="0" w:line="62" w:lineRule="exact"/>
        <w:rPr>
          <w:rFonts w:ascii="Arial" w:cs="Arial" w:eastAsia="Arial" w:hAnsi="Arial"/>
          <w:sz w:val="18"/>
          <w:szCs w:val="18"/>
          <w:color w:val="auto"/>
        </w:rPr>
      </w:pPr>
    </w:p>
    <w:p>
      <w:pPr>
        <w:ind w:left="740" w:right="80" w:hanging="368"/>
        <w:spacing w:after="0" w:line="342"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employee disruptions caused by workplace closures, staffing shortages, travel limitations or mass transit disruptions, that could adversely impact our business operations or delay necessary interactions with local regulators, ethics committees and other important agencies and contractors.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t>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and there is no guarantee that we can successfully enroll patients in a timely manner for our clinical trials. Our competitors may have ongoing clinical trials for product candidates that could be competitive with our product candidates, and patients who would otherwise be eligible for our clinical trials may instead enroll in clinical trials of our competitors’ product candidates. As a result, the timeline for recruiting patients, conducting trials and obtaining regulatory approval of potential products may be delayed. These delays could result in increased costs, delays in advancing our development of AKB-9778 or termination of the clinical trials altogether.</w:t>
      </w:r>
    </w:p>
    <w:p>
      <w:pPr>
        <w:spacing w:after="0" w:line="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62" w:lineRule="exact"/>
        <w:rPr>
          <w:sz w:val="20"/>
          <w:szCs w:val="20"/>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AKB-9778 or any other product candidate in relation to available therapies or other products under development;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may conduct our clinical trials for our product candidates in trial sites outside of the United States, including Japan and the European Union, and seek regulatory approval for our product candidates in major markets in addition to the United States, including the European Union and Japan. Our ability to successfully initiate, enroll and complete a clinical trial in any foreign country, should we attempt to do so, is subject to numerous risks unique to conducting business in international markets, including:</w:t>
      </w:r>
    </w:p>
    <w:p>
      <w:pPr>
        <w:spacing w:after="0" w:line="79" w:lineRule="exact"/>
        <w:rPr>
          <w:sz w:val="20"/>
          <w:szCs w:val="20"/>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2" w:name="page33"/>
    <w:bookmarkEnd w:id="32"/>
    <w:p>
      <w:pPr>
        <w:ind w:right="20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our product candidates in countries outside of the United States.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preclinical studies or earlier stage clinical trials are not necessarily predictive of the results of our future clinical trials of AKB-9778.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we observed encouraging preclinical and clinical results for AKB-9778 in non-proliferative diabetic retinopathy, but this product candidate did not meet the study endpoints in our TIME-2b clinical trial. There can be no assurance that the results of our planned and future clinical trials will produce positive results. In addition, later stage clinical trials are expected to enroll a larger number of subjects and will treat subjects for longer periods than earlier stage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 If the results of our ongoing or future clinical trials for AKB-9778 are inconclusive with respect to efficacy, if we do not meet our clinical endpoints with statistical significance, or if there are safety concerns or adverse events, we may be prevented from or delayed in obtaining marketing approval for AKB-9778.</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planned clinical development program for AKB-9778, and we do not know whether planned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117" w:lineRule="exact"/>
        <w:rPr>
          <w:sz w:val="20"/>
          <w:szCs w:val="20"/>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institutional review board (“IRB”) approval at each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We could encounter delays if a clinical trial is suspended or terminated by us, by the relevant IRBs at the sites at which such trials are being conducted, by the Data Safety Monitoring Board (“DSMB”) for such trial or by the FDA or other regulatory authorities. Such authorities may impose such a suspension or termination, including a clinical hold,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including those experienced by other product candidates in the same class as our product candidates,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ind w:right="280"/>
        <w:spacing w:after="0" w:line="311"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4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(“cGMP”) requirements and GCP requirements for any clinical trials that we conduct post-approval.</w:t>
      </w:r>
    </w:p>
    <w:p>
      <w:pPr>
        <w:spacing w:after="0" w:line="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rely on third party CROs and other third parties to assist in managing, monitoring and otherwise carrying out our clinical trials. We expect to continue to rely on third parties, such as CROs, clinical data management organizations, medical institutions and clinical investigators to conduct our clinical trials in the future, including our planned Phase 2 clinical trial for AKB-9778. We compete with many other companies for the resources of these third parties. The third parties on whom we rely may terminate their engagements with us at any time, and having to enter into alternative arrangements would delay development and commercialization of our product candidates.</w:t>
      </w:r>
    </w:p>
    <w:p>
      <w:pPr>
        <w:spacing w:after="0" w:line="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34" w:name="page35"/>
    <w:bookmarkEnd w:id="34"/>
    <w:p>
      <w:pPr>
        <w:spacing w:after="0" w:line="296" w:lineRule="auto"/>
        <w:rPr>
          <w:sz w:val="20"/>
          <w:szCs w:val="20"/>
          <w:color w:val="auto"/>
        </w:rPr>
      </w:pPr>
      <w:r>
        <w:rPr>
          <w:rFonts w:ascii="Arial" w:cs="Arial" w:eastAsia="Arial" w:hAnsi="Arial"/>
          <w:sz w:val="16"/>
          <w:szCs w:val="16"/>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 extended, delayed, suspended or terminated. If any of these events occur, we may not be able to obtain regulatory approval of our product candidates on a timely basis or at all.</w:t>
      </w:r>
    </w:p>
    <w:p>
      <w:pPr>
        <w:spacing w:after="0" w:line="5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Further, if these third parties experience disruptions due to the COVID-19 pandemic and government measures taken in response to the COVID-19 pandemic, it may adversely affect our ability to initiate and complete our preclinical studies and clinical trials.</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intend to rely on third parties to conduct some or all aspects of our product manufacturing, and these third parties may not perform satisfactorily.</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AKB-9778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w:t>
      </w:r>
    </w:p>
    <w:p>
      <w:pPr>
        <w:spacing w:after="0" w:line="6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Any of these third parties may terminate their engagement with us at any time. We currently have arrangements in place for the manufacturing of drug substance and drug product for our planned Phase 3 development program.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AKB-9778 is approved and marketed, a failure to satisfy patient demand.</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 party manufacturers entails risks to which we would not be subject if we manufactured the product candidates ourselves, including:</w:t>
      </w:r>
    </w:p>
    <w:p>
      <w:pPr>
        <w:spacing w:after="0" w:line="129" w:lineRule="exact"/>
        <w:rPr>
          <w:sz w:val="20"/>
          <w:szCs w:val="20"/>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control as a result of using third party manufacturers for all aspects of manufacturing activities, including regulatory compliance and quality assurance;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880" w:right="460" w:hanging="373"/>
        <w:spacing w:after="0" w:line="308"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3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 of the FDA, we will not be able to secure and/or maintain regulatory approval for our product candidates. In addition, we have no control over the ability of our contract manufacturers to maintain adequate quality control, quality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540"/>
        <w:spacing w:after="0" w:line="259" w:lineRule="auto"/>
        <w:rPr>
          <w:sz w:val="20"/>
          <w:szCs w:val="20"/>
          <w:color w:val="auto"/>
        </w:rPr>
      </w:pPr>
      <w:r>
        <w:rPr>
          <w:rFonts w:ascii="Arial" w:cs="Arial" w:eastAsia="Arial" w:hAnsi="Arial"/>
          <w:sz w:val="18"/>
          <w:szCs w:val="18"/>
          <w:color w:val="auto"/>
        </w:rPr>
        <w:t>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7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reliance on contract manufacturers may adversely affect our operations or result in unforeseen delays or other problems beyond our control. Because of contractual restraints and the limited number of third-party manufacturers 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63"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with production costs, scale-up and yields;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raw materials and supplies;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compliance with strictly enforced federal, state and foreign regulations that vary in each country where a product might be sold; and</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delay or interruption in our supply of product candidates could have a material adverse effect on our business, financial condition, results of operations and cash flows.</w:t>
      </w:r>
    </w:p>
    <w:p>
      <w:pPr>
        <w:spacing w:after="0" w:line="170"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approved, we plan to commercialize AKB-9778 ourselves in the United States and intend to seek one or more strategic collaborators to commercialize AKB-9778 in additional markets. With respect to ARP-1536, we are evaluating its development options.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40"/>
        <w:spacing w:after="0" w:line="286" w:lineRule="auto"/>
        <w:rPr>
          <w:sz w:val="20"/>
          <w:szCs w:val="20"/>
          <w:color w:val="auto"/>
        </w:rPr>
      </w:pPr>
      <w:r>
        <w:rPr>
          <w:rFonts w:ascii="Arial" w:cs="Arial" w:eastAsia="Arial" w:hAnsi="Arial"/>
          <w:sz w:val="17"/>
          <w:szCs w:val="17"/>
          <w:color w:val="auto"/>
        </w:rPr>
        <w:t>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5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June 24, 2018, we entered into a license agreement with Gossamer pursuant to which we granted to Gossamer an exclusive, sublicensable license to develop and commercialize AKB-4924 and other structurally related products worldwide. We received an upfront payment of $20.0 million in connection with this license and are eligible to receive additional development and milestone payments contingent upon the achievement of specified milestones. We are also eligible to receive tiered royalties on sales of licensed products and additional payments upon the occurrence of specified events involving the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license agreement for an uncured material breach by the other party or upon the bankruptcy or insolvency of the other party. In addition, Gossamer may terminate the license agreement in the event it determines that there is a potential safety or efficacy issue with the licensed products. Therefore, there can be no assurance that the license agreement will continue for its full duration or that we will realize the intended benefits of the license agreement.</w:t>
      </w:r>
    </w:p>
    <w:p>
      <w:pPr>
        <w:spacing w:after="0" w:line="6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4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5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type of patent does not prevent a competitor from making and marketing a product that is identical to our products for an indication that is outside the scope of the patented method. Likewise, a competitor may make and market a product similar to our products but that are not covered by the scope of our patents.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 In addition, our patents will eventually expire, and the active pharmaceutical ingredients in our current product candidates will become commercially available in generic drug products. Thus, no patent protection may be available with regard to formulation or method of use.</w:t>
      </w:r>
    </w:p>
    <w:p>
      <w:pPr>
        <w:spacing w:after="0" w:line="8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60"/>
        <w:spacing w:after="0" w:line="254" w:lineRule="auto"/>
        <w:rPr>
          <w:sz w:val="20"/>
          <w:szCs w:val="20"/>
          <w:color w:val="auto"/>
        </w:rPr>
      </w:pPr>
      <w:r>
        <w:rPr>
          <w:rFonts w:ascii="Arial" w:cs="Arial" w:eastAsia="Arial" w:hAnsi="Arial"/>
          <w:sz w:val="18"/>
          <w:szCs w:val="18"/>
          <w:color w:val="auto"/>
        </w:rPr>
        <w:t>product candidates is threatened, it could dissuade companies from collaborating with us to develop, and threaten our ability to commercialize, our product candidates. Moreover, the inventors of our patents or patent applications or our scientific consultants may become involved with competitors, develop products or processes which design around our patents, or become hostile to us or the patents or patent applications on which they are named as inventors. Likewise, our collaborators may become hostile to us or develop products or processes that are adjacent to or compete with us, including products and processes outside the scope of our patents. For example, a hostile collaborator may use technology similar to ours to pursue treatment of an indication that we plan to pursue, and may obtain approval for a product before we do. A hostile collaborator may file patent applications based on information learned from us. Such patent applications may become prior art that will be detrimental to future patent applications by us on similar technology.</w:t>
      </w:r>
    </w:p>
    <w:p>
      <w:pPr>
        <w:spacing w:after="0" w:line="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 (2011), which brings into effect significant changes to the U.S. patent laws and which introduces new procedures for challenging pending patent applications and issued patents. A primary change under this reform is creating a “first to file” system in the United States. We, or our collaborators, might not have been the first to file patent applications on certain inventions. Likewise, our collaborators may file patent applications on certain inventions without our knowledge, prior to our filing patent applications on those inventions. This will require us to be cognizant of the time from invention to filing of a patent application.</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willfully or unintentionally, or that competitors will not otherwise gain access to our trade secrets or independently develop substantially equivalent information and techniques. Trade secrets are difficult to protect, and we have limited control over the protection of trade secrets used by our licensors, collaborators, and suppliers.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currently have a non-exclusive license to one U.S. patent, which we have licensed to Gossamer as part of the June 24, 2018 license agreement.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 The occurrence of any of the foregoing may negatively impair our collaboration with Gossamer and prevent us from realizing the intended benefits of this collaboration.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line="296" w:lineRule="auto"/>
        <w:rPr>
          <w:sz w:val="20"/>
          <w:szCs w:val="20"/>
          <w:color w:val="auto"/>
        </w:rPr>
      </w:pPr>
      <w:r>
        <w:rPr>
          <w:rFonts w:ascii="Arial" w:cs="Arial" w:eastAsia="Arial" w:hAnsi="Arial"/>
          <w:sz w:val="16"/>
          <w:szCs w:val="16"/>
          <w:color w:val="auto"/>
        </w:rPr>
        <w:t>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5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even if we are successful in stopping infringement of our patents.</w:t>
      </w:r>
    </w:p>
    <w:p>
      <w:pPr>
        <w:spacing w:after="0" w:line="7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There is also the risk that, even if the validity of these patents is upheld, the court will refuse to stop the third party on the ground that such third party’s activities do not infringe our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5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may not be able to detect infringement against our patents, as the case may be, which may be especially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If another party questions the patentability of any of our claims in our U.S. patents, the third party can request that the USPTO review the patent claims such as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Moreover, enforcing a claim that a third party illegally obtained and is using any of our trade secrets is expensive and time consuming, and the outcome is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These lawsuits also may impact our ability to pursue agreements with third parties in the future.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80"/>
        <w:spacing w:after="0" w:line="287"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A collaborator at such academic institution may use the information learned from the collaboration to compete with us, either in an academic or commercial setting. The collaborator may use the results obtained through the academic collaboration for the benefit of another commercial entity. The collaborator may use technology for the benefit of a third party even if we were entitled to a license or the right to negotiate for a license to the technology from the academic institution.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Moreover, our reliance on third parties may be exploited by a third party with knowledge of our Company, including knowledge of our Company strategies, intellectual property, research programs, trade secrets, and scientific discovery including, for example, drug targets, pharmaceutically active ingredients, dosing regimens and mechanisms of action. A third party may start a competing company or may join a competing company. If a third party with whom we have an agreement does become a competitor, this may lead to questions of intellectual property ownership, ownership of physical assets, inventorship and breach of contracts in place with the third party. If we seek to resolve this issue by a law suit, then we expect counter claims that may jeopardize the validity and enforceability of our patents. The third parties with whom we collaborate also may have business or legal conflicts of interest. These conflicts of interest can lead to litigation or impact the ability of the third party to fulfill their obligations to us.</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5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5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4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Parties making claims against us may seek and obtain injunctive or other equitable relief, which could effectively block our ability to further develop and commercialize AKB-9778 or other product candidates. If any third-party patents were held by a court of competent jurisdiction to cover the manufacturing process of any of our product candidates, any molecules formed during the manufacturing process or any final product itself, then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line="296" w:lineRule="auto"/>
        <w:rPr>
          <w:sz w:val="20"/>
          <w:szCs w:val="20"/>
          <w:color w:val="auto"/>
        </w:rPr>
      </w:pPr>
      <w:r>
        <w:rPr>
          <w:rFonts w:ascii="Arial" w:cs="Arial" w:eastAsia="Arial" w:hAnsi="Arial"/>
          <w:sz w:val="16"/>
          <w:szCs w:val="16"/>
          <w:color w:val="auto"/>
        </w:rPr>
        <w:t>jurisdiction to cover aspects of our formulations, processes for manufacture or our intended methods of use, then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acquire or obtain licenses from third parties to advance our research or allow commercialization of our product candidates, and there can be no assurance that we will be able to do so on commercially reasonable terms or at all.</w:t>
      </w:r>
    </w:p>
    <w:p>
      <w:pPr>
        <w:spacing w:after="0" w:line="5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Additionally, we may in the future from time to time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The institution also may only offer a nonexclusive license, providing an opportunity for competitors to license intellectual property important to us. If we are unable to successfully obtain rights to required third-party intellectual property or to maintain the existing intellectual property rights we have, we may have to abandon development of such program and our business and financial condition could suffer. The academic institutions, or our collaborators at those institutions, also may violate the terms of our agreements with them. For example, a collaborator could use proprietary knowledge based on the collaboration to compete with us. These violations may result in litigation, which can be costly and may impact our ability to use resources for product development or other necessary functions.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5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obtain marketing approval for AKB-9778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76"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line="279" w:lineRule="auto"/>
        <w:rPr>
          <w:sz w:val="20"/>
          <w:szCs w:val="20"/>
          <w:color w:val="auto"/>
        </w:rPr>
      </w:pPr>
      <w:r>
        <w:rPr>
          <w:rFonts w:ascii="Arial" w:cs="Arial" w:eastAsia="Arial" w:hAnsi="Arial"/>
          <w:sz w:val="17"/>
          <w:szCs w:val="17"/>
          <w:color w:val="auto"/>
        </w:rPr>
        <w:t>For example, the current established treatments for glaucoma are predominantly eye drop drugs such as prostaglandins (e.g., latanoprost), beta blockers (e.g., timolol), carbonic anhydrase inhibitors (e.g., dorozolamide) and alpha agonists (e.g., brimonidine), many of which are generic, and are used as single agent therapies or combinations of a prostaglandin along with another agent. Recently there have been new agents approved including netarsidil (Rhopress TM, and in combination with latanoprost, Rhoclatan TM) and latanoprostene bunod (Vyzulta TM).</w:t>
      </w:r>
    </w:p>
    <w:p>
      <w:pPr>
        <w:spacing w:after="0" w:line="6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Unless we demonstrate that AKB-9778 has single agent efficacy as effective as or more effective than current single-agent standard of care, or as effective or more effective in combination with a prostaglandin such as latanoprost as other combination products, prescribers may be resistant to prescribing it for glaucoma.</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18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w:t>
      </w:r>
    </w:p>
    <w:p>
      <w:pPr>
        <w:spacing w:after="0" w:line="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880" w:right="60" w:hanging="373"/>
        <w:spacing w:after="0" w:line="263"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and federal transparency reporting requirements that require us to register our sales representatives and report any gifts, payments for speaking engagements, travel costs, donations, or other support offered to physicians or teaching hospitals which may create additional burden on sales and marketing personnel;</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3" w:name="page44"/>
    <w:bookmarkEnd w:id="43"/>
    <w:p>
      <w:pPr>
        <w:ind w:right="4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future revenues and profitability will be adversely affected if United States and foreign governmental, private third-party insurers and payors and other third-party payors, including Medicare and Medicaid, do not agree to defray or reimburse the cost of our products to the patients. If these entities fail to provide coverage and reimbursement with respect to our products or provide an insufficient level of coverage and reimbursement, our products may be too costly for some patients to afford them and physicians may not prescribe them. 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84" w:lineRule="exact"/>
        <w:rPr>
          <w:sz w:val="20"/>
          <w:szCs w:val="20"/>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Third-party payors often rely upon Medicare coverage policy and payment limitations in setting their own reimbursement rates, but also have their own methods and approval process apart from Medicate determinations. Therefore, coverage and reimbursement for drug products can differ significantly from payor to payor.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 Further, due to the COVID-19 pandemic, millions of individuals have lost or will be losing employer-based insurance coverage, which may adversely affect our ability to commercialize our product candidates even if there is adequate coverage and reimbursement from third party payors.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actions and proposals to control and reduce healthcare costs. There have been a number of legislative and regulatory changes and proposed changes regarding the healthcare system that could prevent or delay marketing approval for our product candidates, restrict or regulate post-approval activities and affect our ability to profitably sell any of our products or product candidates for which we obtain marketing approval.</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right="40"/>
        <w:spacing w:after="0" w:line="254"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addition, the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70% (as of January 1, 2019 pursuant to subsequent legislation)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w:t>
      </w:r>
    </w:p>
    <w:p>
      <w:pPr>
        <w:spacing w:after="0" w:line="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2% per fiscal year, which went into effect on April 1, 2013. Pursuant to the Coronavirus Aid, Relief, and Economic Security Act, also known as the CARES Act, these reductions are suspended from May 1, 2020 through December 31, 2020 due to the COVID-19 pandemic. As the legislation currently stands, the reductions will go back into effect January 2021 and will remain in effect through 2030 unless additional Congressional action is taken.</w:t>
      </w:r>
    </w:p>
    <w:p>
      <w:pPr>
        <w:spacing w:after="0" w:line="4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Since January 2017, President Trump has signed two Executive Orders designed to delay the implementation of certain provisions of the ACA or otherwise circumvent some of the requirements for health insurance mandated by the ACA. One such Executive Order directed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to Medicare payments to providers of 2% per fiscal year through 2030, with the cuts temporarily paused (as of May 1, 2020) for the remainder of calendar year 2020.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While Congress has not passed comprehensive repeal legislation, it has enacted laws that modify certain provisions of the ACA, including eliminating a tax-based shared responsibility payment imposed on certain individuals who fail to maintain qualifying health coverage for all or part of a year, which is commonly referred to as the “individual mandate”. On December 14, 2018, a U.S. District Court judge in the Northern District of Texas ruled that the individual mandate portion of the ACA is an essential and inseverable feature of the ACA, and therefore because the mandate was repealed, the remaining provisions of the ACA are invalid as well. On December 18, 2019, the Fifth Circuit U.S. Court of Appeals held the individual mandate is unconstitutional, and remanded the case to the lower court to reconsider its earlier invalidation of the full ACA. In March 2020, the U.S. Supreme Court agreed to hear this case, with arguments likely to take place later this year. Pending review, the ACA remains in effect, but it is unclear at this time what effect the latest ruling will have on the status of the ACA. Litigation and legislation related to the ACA are likely to continue, with unpredictable and uncertain results. We will continue to evaluate the effect that the ACA and its possible repeal and replacement has on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line="288" w:lineRule="auto"/>
        <w:rPr>
          <w:sz w:val="20"/>
          <w:szCs w:val="20"/>
          <w:color w:val="auto"/>
        </w:rPr>
      </w:pPr>
      <w:r>
        <w:rPr>
          <w:rFonts w:ascii="Arial" w:cs="Arial" w:eastAsia="Arial" w:hAnsi="Arial"/>
          <w:sz w:val="16"/>
          <w:szCs w:val="16"/>
          <w:color w:val="auto"/>
        </w:rPr>
        <w:t>Further, the Trump administration’s budget for fiscal years 2019 and 2020 contain further drug price control measures that could be enacted during the budget process or in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a type of prior authorization, for Part B drugs beginning January 1, 2020. This final rule codified CMS’s policy change that was effective January 1, 2019. It is unclear what effect such changes will have on our business and our ability to receive adequate reimbursement for our future products.</w:t>
      </w:r>
    </w:p>
    <w:p>
      <w:pPr>
        <w:spacing w:after="0" w:line="6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6"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future approved product.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If AKB-9778 is approved and launched commercially, competing drugs may include generic agents that comprise current standard of care (e.g., latanoprost, timolol, and others) as well as newly approved agents such as Rhopressa, Rhoclatan (Aerie Pharmaceuticals) and Vyzulta (Bausch + Lomb), and others that are in development for the treatment of glaucoma.</w:t>
      </w:r>
    </w:p>
    <w:p>
      <w:pPr>
        <w:spacing w:after="0" w:line="7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Large and established companies such as Aerie Pharmaceuticals, Baush + Lomb, Santen, Novartis, ONO, Takeda, Allergan and others compete in the market for products for the treatment of glaucoma.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46" w:name="page47"/>
    <w:bookmarkEnd w:id="46"/>
    <w:p>
      <w:pPr>
        <w:ind w:right="60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6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Undesirable side effects caused by our product candidates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Serious adverse events deemed to be caused by our product candidates could have a material adverse effect on the development of our product candidates and our business as a whole. The most common drug-related adverse events to date in the clinical trials evaluating the safety and tolerability of subcutaneous AKB-9778 have been dizziness and asymptomatic decreases in blood pressure, and these adverse events may occur in future development by this route of administration. The most common adverse event seen in the Phase 1b clinical trial evaluating the safety and tolerability of topical ocular AKB-9778 was mild conjunctival hyperemia. Our understanding of the relationship between AKB-9778 and these events, as well as our understanding of adverse events in future clinical trials of other product candidates, may change as we gather more information, and additional unexpected adverse events may be observed.</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highly dependent on members of our senior management, including Joseph Gardner, our President and Founder and former Chief Executive Officer, Kevin G. Peters, our Chief Scientific Officer and acting Chief Medical Officer, and Regina Marek, our Vice President of Finance. The loss of the services of any of these persons could impede the achievement of our research, development and commercialization objectives.</w:t>
      </w:r>
    </w:p>
    <w:p>
      <w:pPr>
        <w:spacing w:after="0" w:line="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 In addition, in April 2019, we adopted a realignment plan to reduce operating costs and better align our workforce with the needs of our ongoing business. The realignment plan reduced our workforce by 11 employees, representing approximately 41% of our workforce. As a result, while we have undertaken efforts to retain our current employees, we may experience challenges in doing so.</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conduct our business will be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right="14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if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AKB-9778,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7"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ind w:right="200"/>
        <w:spacing w:after="0" w:line="291" w:lineRule="auto"/>
        <w:rPr>
          <w:sz w:val="20"/>
          <w:szCs w:val="20"/>
          <w:color w:val="auto"/>
        </w:rPr>
      </w:pPr>
      <w:r>
        <w:rPr>
          <w:rFonts w:ascii="Arial" w:cs="Arial" w:eastAsia="Arial" w:hAnsi="Arial"/>
          <w:sz w:val="16"/>
          <w:szCs w:val="16"/>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w:t>
      </w:r>
    </w:p>
    <w:p>
      <w:pPr>
        <w:ind w:right="20"/>
        <w:spacing w:after="0" w:line="253" w:lineRule="auto"/>
        <w:rPr>
          <w:sz w:val="20"/>
          <w:szCs w:val="20"/>
          <w:color w:val="auto"/>
        </w:rPr>
      </w:pPr>
      <w:r>
        <w:rPr>
          <w:rFonts w:ascii="Arial" w:cs="Arial" w:eastAsia="Arial" w:hAnsi="Arial"/>
          <w:sz w:val="18"/>
          <w:szCs w:val="18"/>
          <w:color w:val="auto"/>
        </w:rPr>
        <w:t>$10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if we sustain cyber-attacks or other privacy or data security incidents that result in security breaches.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information technology may be subject to cyber-attacks, security breaches or computer hacking.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misplaced or lost data, human errors, or other similar events that could negatively affect our systems and our data, as well as the data of our business partners. Further, third parties that provide services to us, could also be a source of security risk in the event of a failure of their own security systems and infrastructure.</w:t>
      </w:r>
    </w:p>
    <w:p>
      <w:pPr>
        <w:spacing w:after="0" w:line="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manufacturers or other third parties. In addition, breaches of our security measures and the unauthorized dissemination of sensitive personal, proprietary or confidential information about us, our business partners, participants in our clinical trials or other third parties could expose us to significant potential liability and reputational harm. In addition, the loss of clinical trial data from completed or ongoing or planned clinical trials as a result of a data security incident or other systems failure could result in delays in our regulatory approval efforts and significantly increase our costs to recover or reproduce the data. As threats related to cyber-attacks develop and grow, we may also find it necessary to make additional investments to protect our data and infrastructure, which may impact our profitability. We could also be negatively impacted by existing and proposed laws and regulations, as well as government policies and practices related to cybersecurity, data privacy, data localization and data protection such as GDPR.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arising from the results of the public referendum held in United Kingdom and its membership in the European Union.</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23, 2016, the United Kingdom held a referendum in which a majority of the eligible members of the electorate voted to leave the European Union, commonly referred to as Brexit. Pursuant to Article 50 of the Treaty on European Union, the United Kingdom ceased being a Member State of the European Union on January 31, 2020. However, the terms of the withdrawal have yet to be fully negotiated. The implementation period began February 1, 2020 and will continue until December 31, 2020. During this 11-month period, the United Kingdom will continue to follow all of the European Union’s rules, the European Union’s pharmaceutical law remains applicable to the United Kingdom and the United Kingdom’s trading relationship will remain the same. However, regulations (including financial laws and regulations, tax and free trade agreements, intellectual property rights, data protection laws, supply chain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ind w:right="120"/>
        <w:spacing w:after="0" w:line="311" w:lineRule="auto"/>
        <w:rPr>
          <w:sz w:val="20"/>
          <w:szCs w:val="20"/>
          <w:color w:val="auto"/>
        </w:rPr>
      </w:pPr>
      <w:r>
        <w:rPr>
          <w:rFonts w:ascii="Arial" w:cs="Arial" w:eastAsia="Arial" w:hAnsi="Arial"/>
          <w:sz w:val="16"/>
          <w:szCs w:val="16"/>
          <w:color w:val="auto"/>
        </w:rPr>
        <w:t>logistics, environmental, health and safety laws and regulations medicine licensing and regulations, immigration laws and employment laws), have yet to be addressed. This lack of clarity on future United Kingdom laws and regulations and their interaction with the European Union laws and regulations may negatively impact foreign direct investment in the United Kingdom, increase costs, depress economic activity and restrict access to capital.</w:t>
      </w:r>
    </w:p>
    <w:p>
      <w:pPr>
        <w:spacing w:after="0" w:line="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uncertainty concerning the United Kingdom’s legal, political and economic relationship with the European Union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United Kingdom financial and banking markets, as well as on the regulatory process in Europe. Asset valuations, currency exchange rates and credit ratings may also be subject to increased market volatility.</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United Kingdom and the European Union are unable to negotiate acceptable agreements or if other European Union Member States pursue withdrawal, barrier-free access between the United Kingdom and other European Union Member States or among the European Economic Area overall could be diminished or eliminated. The long-term effects of Brexit will depend on any agreements (or lack thereof) between the United Kingdom and the European Union and, in particular, any arrangements for the United Kingdom to retain access to European Union markets either during a transitional period or more permanently.</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Such a withdrawal from the European Union is unprecedented, and it is unclear how the United Kingdom’s access to the European single market for goods, capital, services and labor within the European Union, or single market, and the wider commercial, legal and regulatory environment, will impact our current and future operations, including our relationships with existing and potential suppliers, manufacturers and other third parties.</w:t>
      </w:r>
    </w:p>
    <w:p>
      <w:pPr>
        <w:spacing w:after="0" w:line="5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Depending on the terms of the United Kingdom’s withdrawal from the European Union, the United Kingdom could lose the benefits of global trade agreements negotiated by the European Union on behalf of its members, which may result in increased trade barriers that could make our doing business in the European Union or European Economic Area more difficult. In addition, the measures could potentially have corporate structural consequences, adversely change tax benefits or liabilities in these or other jurisdictions and could disrupt some of the markets and jurisdictions in which we operate. Any of these effects of Brexit, among others, could materially adversely affect the business, business opportunities, and financial condition of our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jc w:val="both"/>
        <w:ind w:right="460"/>
        <w:spacing w:after="0" w:line="375" w:lineRule="auto"/>
        <w:rPr>
          <w:sz w:val="20"/>
          <w:szCs w:val="20"/>
          <w:color w:val="auto"/>
        </w:rPr>
      </w:pPr>
      <w:r>
        <w:rPr>
          <w:rFonts w:ascii="Arial" w:cs="Arial" w:eastAsia="Arial" w:hAnsi="Arial"/>
          <w:sz w:val="15"/>
          <w:szCs w:val="15"/>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76" w:lineRule="exact"/>
        <w:rPr>
          <w:sz w:val="20"/>
          <w:szCs w:val="20"/>
          <w:color w:val="auto"/>
        </w:rPr>
      </w:pPr>
    </w:p>
    <w:p>
      <w:pPr>
        <w:ind w:left="880" w:right="240" w:hanging="373"/>
        <w:spacing w:after="0" w:line="342"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regarding the assessment of our internal control over financial reporting;</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taken advantage of these reduced reporting burdens. In particular, we have provided only two years of audited consolidated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spacing w:after="0" w:line="289" w:lineRule="auto"/>
        <w:rPr>
          <w:sz w:val="20"/>
          <w:szCs w:val="20"/>
          <w:color w:val="auto"/>
        </w:rPr>
      </w:pPr>
      <w:r>
        <w:rPr>
          <w:rFonts w:ascii="Arial" w:cs="Arial" w:eastAsia="Arial" w:hAnsi="Arial"/>
          <w:sz w:val="16"/>
          <w:szCs w:val="16"/>
          <w:color w:val="auto"/>
        </w:rPr>
        <w:t>We could be an emerging growth company for up to five years following the date of completion of our initial public offering, although circumstances could cause us to lose that status earlier, including if the market value of our common stock held by non-affiliates exceeds $700 million as of any June 30 before that time or if we have total annual gross revenue of $1.07 billion (as may be inflation-adjusted by the SEC from time to time)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$250 million as of June 30 in any given year (or $700 million if we had less than $100 million in revenues),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Financial Industry Regulatory Authority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market price of our common stock is likely to be volatile. Since our common stock became listed on Nasdaq Capital Market on June 26, 2018, the trading price of our common stock has ranged from $0.42 to $4.35 per share. The market price of our common stock may continue to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may continue to be subject to wide fluctuations in response to many risk factors listed in this section, and others beyond our control, including:</w:t>
      </w:r>
    </w:p>
    <w:p>
      <w:pPr>
        <w:spacing w:after="0" w:line="57"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maintain compliance with Nasdaq Capital Market listing standards, including maintenance of at least $2.5 million of stockholders’ equity and maintenance of a $1.00 minimum bid price, our common stock may be delisted from the Nasdaq Capital Market and you may face significant restrictions on the resale of your shares due to state “blue sky” laws.</w:t>
      </w:r>
    </w:p>
    <w:p>
      <w:pPr>
        <w:spacing w:after="0" w:line="8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There can be no assurances that we will be able to maintain our Nasdaq Capital Market listing in the future. On July 24, 2019, we were notified by Nasdaq Stock Market, LLC (“Nasdaq”)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January 20, 2020 (the “Initial Compliance Date”), to regain compliance with Nasdaq Listing Rule 5550(a)(2), and allowed us to apply for an extension for an additional 180 calendar days, or until July 18, 2020, if we meet the Nasdaq Capital Market continued listing requirements (except for the bid price requirement) and notify Nasdaq in writing of our intention to cure the deficiency during the second compliance period. The Company did not regain compliance with Nasdaq Listing Rule 5550(a)(2) by the Initial Compliance Date, and as a result, the Company applied for an extension of the cure period. On January 21, 2020, we received a written notice from Nasdaq that the Company had been granted an additional 180 calendar days, or until July 20, 2020, to regain compliance with the minimum closing bid price of $1.00 per share as required by Nasdaq Listing Rule 5550(a)(2) for continued listing on The Nasdaq Capital Market. On April 17, 2020, we received written notice from Nasdaq that it had filed an immediately effective rule change with the Securities and Exchange Commission on April 16, 2020 to toll the compliance periods for bid price and market value of publicly held shares requirements (collectively, the “Price-based Requirements”) through June 30, 2020. As a result, upon reinstatement of the Price-based Requirements, we will have 94 calendar days from July 1, 2020, or until October 2, 2020, to regain compliance with the minimum closing bid price of $1.00 per share as required by Nasdaq Listing Rule 5550(a)(2) for continued listing on The Nasdaq Capital Market. To regain compliance, the bid price of our common stock must have a closing bid price of at least $1.00 per share for a minimum of 10 consecutive business days. If we fail to regain compliance during this second 180-day period, then Nasdaq will notify us of its determination to delist our common stock, at which point we will have an opportunity to appeal the delisting determination to a hearings panel. For our 2020 annual meeting of stockholders in June 2020, we have included a proposal for a reverse split of our common stock at a ratio to be determined by our board of directors of between 1:15 and 1:25. This proposed reverse split is intended to increase the trading price of our common stock on the Nasdaq Capital Market in order to regain compliance with its minimum bid price requirement. However, there can be no assurance that our stockholders will approve such a proposal or, even if a reverse split is implemented, there can be no assurance that we will in the future maintain compliance with the minimum bid price requirement or any other continued listing requirements of The Nasdaq Capital Market.</w:t>
      </w:r>
    </w:p>
    <w:p>
      <w:pPr>
        <w:spacing w:after="0" w:line="8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the event we are unable to maintain compliance with the Nasdaq Capital Market listing standards and our common stock is delisted from the Nasdaq Capital Market, it would, among other things, likely lead to a number of negative implications, including an adverse effect on the price of our common stock, reduced liquidity in our common stock, the loss of federal preemption of state securities laws and greater difficulty in obtaining financing.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Capital Market minimum bid price requirement in the future, or prevent future non-compliance with Nasdaq’s listing requirements. If we cannot restore our compliance with Nasdaq’s listing requirements, we would pursue eligibility 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220"/>
        <w:spacing w:after="0" w:line="277" w:lineRule="auto"/>
        <w:rPr>
          <w:sz w:val="20"/>
          <w:szCs w:val="20"/>
          <w:color w:val="auto"/>
        </w:rPr>
      </w:pPr>
      <w:r>
        <w:rPr>
          <w:rFonts w:ascii="Arial" w:cs="Arial" w:eastAsia="Arial" w:hAnsi="Arial"/>
          <w:sz w:val="18"/>
          <w:szCs w:val="18"/>
          <w:color w:val="auto"/>
        </w:rPr>
        <w:t>trading of these securities on other markets or exchanges, such as the OTCQB or OTCQX, which are unorganized, inter-dealer, over-the-counter markets which provides significantly less liquidity than the Nasdaq Capital Market or other national securities exchanges.</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Furthermore, each state has its own securities laws, often called “blue sky” laws, which (1) limit sales of securities to a state’s residents unless the securities are registered in that state or qualify for an exemption from registration, and (2) govern the reporting requirements for broker-dealers doing business directly or indirectly in the state. Before a security is sold in a state, there must be a registration in place to cover the transaction, or it must be exempt from registration. The applicable broker-dealer must also be registered in that state. If we fail to maintain our Nasdaq Capital Market listing, then we may not be considered to be on a national exchange and do not know whether our securities will be registered or exempt from registration under the laws of any state. A determination regarding registration will be made by those broker-dealers, if any, who agree to serve as market makers for our common stock. There may be significant state blue sky law restrictions on the ability of investors to sell, and on purchasers to buy, our securities. You should therefore consider the resale market for our common stock to be limited, as you may be unable to resell your shares without the significant expense of state registration or qualification.</w:t>
      </w:r>
    </w:p>
    <w:p>
      <w:pPr>
        <w:spacing w:after="0" w:line="1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of March 31, 2020, our executive officers, directors and principal stockholders, together with their respective affiliates, owned approximately 45.0%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Because we did not become a reporting company by conducting an underwritten initial public offering of our common stock, and because we only recently became listed on a national securities exchange, we may obtain research coverage from fewer analysts than we would have obtained. In addition, investment banks may be less likely to agree to underwrite secondary offerings on our behalf or recommend the purchase of our common stock than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could have an adverse effect on our ability to develop a liquid market for our common stock.</w:t>
      </w:r>
    </w:p>
    <w:p>
      <w:pPr>
        <w:spacing w:after="0" w:line="1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and an additional registration statement covering 2,973,682 shares purchased by certain stockholders in June 2018 and subsequent open market purchases.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currently intend to use our cash and cash equivalents for continuing clinical development of AKB-9778 in patients with open angle glaucoma and ocular hypertension, including our ongoing Phase 1b clinical trial, early research on antibody therapies that inhibit VE-PTP, and for working capital and other general corporate purposes. Although we currently intend to use our cash and cash equivalents in such a manner, we will have broad discretion in the application of such cash and cash equivalents. Our failure to apply these funds effectively could affect our ability to continue to develop and commercialize our product candidates. Pending their use, we may invest our cash and cash equivalents in a manner that does not produce income or loses value.</w:t>
      </w:r>
    </w:p>
    <w:p>
      <w:pPr>
        <w:spacing w:after="0" w:line="16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As a result of becoming a public company, we are incurring increased costs and our management devotes substantial time to public company compliance programs.</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5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 is accumulated and communicated to our principal executive and financial officers. Any failure to develop or maintain effective controls could adversely affect the results of periodic management evaluations. In the event we are not able to demonstrate compliance with the Sarbanes-Oxley Act, our internal control over financial reporting is perceived as inadequate, or we are unable to produce timely or accurate financial statements, investors may lose confidence in our operating results and the price of our ordinary shares could decline. In addition, if we are unable to continue to meet these requirements, we may not be able to maintain our listing on a national securities exchange.</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following this annual report until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right="8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jc w:val="both"/>
        <w:ind w:left="880" w:right="460" w:hanging="373"/>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 create a classified Board of Directors whose members serve staggered three-year terms;</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spacing w:after="0" w:line="62"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 by a supermajority (66 2/3%) vote of the holders of our voting stock;</w:t>
      </w:r>
    </w:p>
    <w:p>
      <w:pPr>
        <w:spacing w:after="0" w:line="128"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spacing w:after="0" w:line="62" w:lineRule="exact"/>
        <w:rPr>
          <w:rFonts w:ascii="Arial" w:cs="Arial" w:eastAsia="Arial" w:hAnsi="Arial"/>
          <w:sz w:val="18"/>
          <w:szCs w:val="18"/>
          <w:color w:val="auto"/>
        </w:rPr>
      </w:pPr>
    </w:p>
    <w:p>
      <w:pPr>
        <w:ind w:left="880" w:right="220" w:hanging="373"/>
        <w:spacing w:after="0" w:line="308"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38" w:lineRule="exact"/>
        <w:rPr>
          <w:rFonts w:ascii="Arial" w:cs="Arial" w:eastAsia="Arial" w:hAnsi="Arial"/>
          <w:sz w:val="17"/>
          <w:szCs w:val="17"/>
          <w:color w:val="auto"/>
        </w:rPr>
      </w:pPr>
    </w:p>
    <w:p>
      <w:pPr>
        <w:jc w:val="both"/>
        <w:ind w:left="880" w:right="240" w:hanging="373"/>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general, under Section 382 of the Internal Revenue Code of 1986, as amended (“the Code”) a corporation that undergoes an “ownership change” is subject to limitations on its ability to utilize its pre-change net operating losses (“NOLs”), to offset future taxable income. Our existing NOLs may be subject to substantial limitations arising from previous ownership changes under Section 382 of the Code. Future analysis will still be required on any historical NOLs as no studies have been performed to evaluate a change in ownership.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5" w:name="page56"/>
    <w:bookmarkEnd w:id="55"/>
    <w:p>
      <w:pPr>
        <w:ind w:right="20"/>
        <w:spacing w:after="0" w:line="259" w:lineRule="auto"/>
        <w:rPr>
          <w:sz w:val="20"/>
          <w:szCs w:val="20"/>
          <w:color w:val="auto"/>
        </w:rPr>
      </w:pPr>
      <w:r>
        <w:rPr>
          <w:rFonts w:ascii="Arial" w:cs="Arial" w:eastAsia="Arial" w:hAnsi="Arial"/>
          <w:sz w:val="18"/>
          <w:szCs w:val="18"/>
          <w:color w:val="auto"/>
        </w:rPr>
        <w:t>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common stock has been listed on The Nasdaq Capital Market since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exhibits listed on the Exhibit Index immediately preceding such exhibits, which is incorporated herein by reference, are filed or furnished as part of this Quarterly Report on 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9200" w:type="dxa"/>
            <w:vAlign w:val="bottom"/>
            <w:gridSpan w:val="5"/>
            <w:vMerge w:val="restart"/>
          </w:tcPr>
          <w:p>
            <w:pPr>
              <w:ind w:left="3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4"/>
                <w:szCs w:val="14"/>
                <w:color w:val="auto"/>
              </w:rPr>
            </w:pPr>
          </w:p>
        </w:tc>
        <w:tc>
          <w:tcPr>
            <w:tcW w:w="92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20" w:type="dxa"/>
            <w:vAlign w:val="bottom"/>
            <w:tcBorders>
              <w:top w:val="single" w:sz="8" w:color="auto"/>
              <w:bottom w:val="single" w:sz="8" w:color="0000EE"/>
            </w:tcBorders>
            <w:gridSpan w:val="3"/>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8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0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6"/>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Act 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00" w:right="140" w:hanging="492"/>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7200" w:type="dxa"/>
            <w:vAlign w:val="bottom"/>
            <w:gridSpan w:val="2"/>
          </w:tcPr>
          <w:p>
            <w:pPr>
              <w:ind w:left="2660"/>
              <w:spacing w:after="0"/>
              <w:rPr>
                <w:sz w:val="20"/>
                <w:szCs w:val="20"/>
                <w:color w:val="auto"/>
              </w:rPr>
            </w:pPr>
            <w:r>
              <w:rPr>
                <w:rFonts w:ascii="Arial" w:cs="Arial" w:eastAsia="Arial" w:hAnsi="Arial"/>
                <w:sz w:val="18"/>
                <w:szCs w:val="18"/>
                <w:color w:val="auto"/>
              </w:rPr>
              <w:t>AERPIO PHARMACEUTICALS, INC.</w:t>
            </w:r>
          </w:p>
        </w:tc>
      </w:tr>
      <w:tr>
        <w:trPr>
          <w:trHeight w:val="459"/>
        </w:trPr>
        <w:tc>
          <w:tcPr>
            <w:tcW w:w="4040" w:type="dxa"/>
            <w:vAlign w:val="bottom"/>
          </w:tcPr>
          <w:p>
            <w:pPr>
              <w:spacing w:after="0"/>
              <w:rPr>
                <w:sz w:val="20"/>
                <w:szCs w:val="20"/>
                <w:color w:val="auto"/>
              </w:rPr>
            </w:pPr>
            <w:r>
              <w:rPr>
                <w:rFonts w:ascii="Arial" w:cs="Arial" w:eastAsia="Arial" w:hAnsi="Arial"/>
                <w:sz w:val="18"/>
                <w:szCs w:val="18"/>
                <w:color w:val="auto"/>
              </w:rPr>
              <w:t>Date: May 7, 2020</w:t>
            </w:r>
          </w:p>
        </w:tc>
        <w:tc>
          <w:tcPr>
            <w:tcW w:w="2940" w:type="dxa"/>
            <w:vAlign w:val="bottom"/>
          </w:tcPr>
          <w:p>
            <w:pPr>
              <w:ind w:left="2660"/>
              <w:spacing w:after="0"/>
              <w:rPr>
                <w:sz w:val="20"/>
                <w:szCs w:val="20"/>
                <w:color w:val="auto"/>
              </w:rPr>
            </w:pPr>
            <w:r>
              <w:rPr>
                <w:rFonts w:ascii="Arial" w:cs="Arial" w:eastAsia="Arial" w:hAnsi="Arial"/>
                <w:sz w:val="18"/>
                <w:szCs w:val="18"/>
                <w:color w:val="auto"/>
                <w:w w:val="99"/>
              </w:rPr>
              <w:t>By:</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Joseph Gardner, Ph.D.</w:t>
            </w:r>
          </w:p>
        </w:tc>
      </w:tr>
      <w:tr>
        <w:trPr>
          <w:trHeight w:val="218"/>
        </w:trPr>
        <w:tc>
          <w:tcPr>
            <w:tcW w:w="4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Joseph Gardner, Ph.D.</w:t>
            </w:r>
          </w:p>
        </w:tc>
      </w:tr>
      <w:tr>
        <w:trPr>
          <w:trHeight w:val="220"/>
        </w:trPr>
        <w:tc>
          <w:tcPr>
            <w:tcW w:w="40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r>
        <w:trPr>
          <w:trHeight w:val="230"/>
        </w:trPr>
        <w:tc>
          <w:tcPr>
            <w:tcW w:w="4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459"/>
        </w:trPr>
        <w:tc>
          <w:tcPr>
            <w:tcW w:w="4040" w:type="dxa"/>
            <w:vAlign w:val="bottom"/>
          </w:tcPr>
          <w:p>
            <w:pPr>
              <w:spacing w:after="0"/>
              <w:rPr>
                <w:sz w:val="20"/>
                <w:szCs w:val="20"/>
                <w:color w:val="auto"/>
              </w:rPr>
            </w:pPr>
            <w:r>
              <w:rPr>
                <w:rFonts w:ascii="Arial" w:cs="Arial" w:eastAsia="Arial" w:hAnsi="Arial"/>
                <w:sz w:val="18"/>
                <w:szCs w:val="18"/>
                <w:color w:val="auto"/>
              </w:rPr>
              <w:t>Date: May 7, 2020</w:t>
            </w:r>
          </w:p>
        </w:tc>
        <w:tc>
          <w:tcPr>
            <w:tcW w:w="2940" w:type="dxa"/>
            <w:vAlign w:val="bottom"/>
          </w:tcPr>
          <w:p>
            <w:pPr>
              <w:ind w:left="2660"/>
              <w:spacing w:after="0"/>
              <w:rPr>
                <w:sz w:val="20"/>
                <w:szCs w:val="20"/>
                <w:color w:val="auto"/>
              </w:rPr>
            </w:pPr>
            <w:r>
              <w:rPr>
                <w:rFonts w:ascii="Arial" w:cs="Arial" w:eastAsia="Arial" w:hAnsi="Arial"/>
                <w:sz w:val="18"/>
                <w:szCs w:val="18"/>
                <w:color w:val="auto"/>
                <w:w w:val="99"/>
              </w:rPr>
              <w:t>By:</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Regina Marek</w:t>
            </w:r>
          </w:p>
        </w:tc>
      </w:tr>
      <w:tr>
        <w:trPr>
          <w:trHeight w:val="218"/>
        </w:trPr>
        <w:tc>
          <w:tcPr>
            <w:tcW w:w="4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5"/>
              </w:rPr>
              <w:t>Regina Marek</w:t>
            </w:r>
          </w:p>
        </w:tc>
      </w:tr>
      <w:tr>
        <w:trPr>
          <w:trHeight w:val="234"/>
        </w:trPr>
        <w:tc>
          <w:tcPr>
            <w:tcW w:w="4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Vice President Finance</w:t>
            </w:r>
          </w:p>
        </w:tc>
      </w:tr>
    </w:tbl>
    <w:p>
      <w:pPr>
        <w:ind w:left="7100"/>
        <w:spacing w:after="0"/>
        <w:rPr>
          <w:sz w:val="20"/>
          <w:szCs w:val="20"/>
          <w:color w:val="auto"/>
        </w:rPr>
      </w:pPr>
      <w:r>
        <w:rPr>
          <w:rFonts w:ascii="Arial" w:cs="Arial" w:eastAsia="Arial" w:hAnsi="Arial"/>
          <w:sz w:val="17"/>
          <w:szCs w:val="17"/>
          <w:i w:val="1"/>
          <w:iCs w:val="1"/>
          <w:color w:val="auto"/>
        </w:rPr>
        <w:t>(Principal Financial and Principal Accounting Officer)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Gardner, certify that:</w:t>
      </w:r>
    </w:p>
    <w:p>
      <w:pPr>
        <w:spacing w:after="0" w:line="225"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740" w:val="left"/>
          <w:tab w:leader="none" w:pos="822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Regina Marek, certify that:</w:t>
      </w:r>
    </w:p>
    <w:p>
      <w:pPr>
        <w:spacing w:after="0" w:line="225"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740" w:val="left"/>
          <w:tab w:leader="none" w:pos="852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Vice President Finance</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ended March 31, 2020 as filed with the Securities and Exchange Commission on the date hereof (the “Report”), I, Joseph Gardner, President of the Company, certify, pursuant to 18 U.S.C. § 1350, as adopted pursuant to § 906 of the Sarbanes-Oxley Act of 2002, that to my knowledge:</w:t>
      </w:r>
    </w:p>
    <w:p>
      <w:pPr>
        <w:spacing w:after="0" w:line="76"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740" w:val="left"/>
          <w:tab w:leader="none" w:pos="822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In connection with the Quarterly Report of Aerpio Pharmaceuticals, Inc., (the “Company”) on Form 10-Q for the period ended March 31, 2020 as filed with the Securities and Exchange Commission on the date hereof (the “Report”), I, Regina Marek, Vice President Finance of the Company, certify, pursuant to 18 U.S.C. § 1350, as adopted pursuant to § 906 of the Sarbanes-Oxley Act of 2002, that to my knowledge:</w:t>
      </w:r>
    </w:p>
    <w:p>
      <w:pPr>
        <w:spacing w:after="0" w:line="5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740" w:val="left"/>
          <w:tab w:leader="none" w:pos="852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Vice President Finance</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2020-05-07T07:54:52Z</dcterms:created>
  <dcterms:modified xsi:type="dcterms:W3CDTF">2020-05-07T07:54:52Z</dcterms:modified>
</cp:coreProperties>
</file>