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192" w:before="1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192"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120" w:after="283"/>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192"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 to ______________</w:t>
      </w:r>
    </w:p>
    <w:p>
      <w:pPr>
        <w:pStyle w:val="TextBody"/>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highlight w:val="white"/>
        </w:rPr>
        <w:t>001-38560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120" w:after="283"/>
        <w:jc w:val="center"/>
        <w:rPr>
          <w:rFonts w:ascii="Times New Roman;sans-serif" w:hAnsi="Times New Roman;sans-serif"/>
          <w:b/>
          <w:color w:val="000000"/>
          <w:sz w:val="44"/>
          <w:highlight w:val="white"/>
        </w:rPr>
      </w:pPr>
      <w:r>
        <w:rPr>
          <w:rFonts w:ascii="Times New Roman;sans-serif" w:hAnsi="Times New Roman;sans-serif"/>
          <w:b/>
          <w:color w:val="000000"/>
          <w:sz w:val="44"/>
          <w:highlight w:val="white"/>
        </w:rPr>
        <w:t>AADI BIOSCIENCE,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4379" w:type="dxa"/>
        <w:jc w:val="center"/>
        <w:tblInd w:w="0" w:type="dxa"/>
        <w:tblCellMar>
          <w:top w:w="28" w:type="dxa"/>
          <w:left w:w="28" w:type="dxa"/>
          <w:bottom w:w="28" w:type="dxa"/>
          <w:right w:w="28" w:type="dxa"/>
        </w:tblCellMar>
      </w:tblPr>
      <w:tblGrid>
        <w:gridCol w:w="1133"/>
        <w:gridCol w:w="995"/>
        <w:gridCol w:w="1007"/>
        <w:gridCol w:w="363"/>
        <w:gridCol w:w="363"/>
        <w:gridCol w:w="518"/>
      </w:tblGrid>
      <w:tr>
        <w:trPr/>
        <w:tc>
          <w:tcPr>
            <w:tcW w:w="1133"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61-1547850</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17383 Sunset Boulevard Suite A250</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Pacific Palisades, California </w:t>
            </w:r>
          </w:p>
        </w:tc>
        <w:tc>
          <w:tcPr>
            <w:tcW w:w="124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90272</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r>
        <w:trPr/>
        <w:tc>
          <w:tcPr>
            <w:tcW w:w="4379" w:type="dxa"/>
            <w:gridSpan w:val="6"/>
            <w:tcBorders/>
            <w:shd w:fill="FFFFFF"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(424) 744-8055</w:t>
            </w:r>
          </w:p>
          <w:p>
            <w:pPr>
              <w:pStyle w:val="TableContents"/>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tc>
      </w:tr>
    </w:tbl>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7" w:type="dxa"/>
        <w:jc w:val="center"/>
        <w:tblInd w:w="0" w:type="dxa"/>
        <w:tblCellMar>
          <w:top w:w="28" w:type="dxa"/>
          <w:left w:w="28" w:type="dxa"/>
          <w:bottom w:w="28" w:type="dxa"/>
          <w:right w:w="28" w:type="dxa"/>
        </w:tblCellMar>
      </w:tblPr>
      <w:tblGrid>
        <w:gridCol w:w="1174"/>
        <w:gridCol w:w="1032"/>
        <w:gridCol w:w="1048"/>
        <w:gridCol w:w="484"/>
        <w:gridCol w:w="484"/>
        <w:gridCol w:w="486"/>
        <w:gridCol w:w="956"/>
        <w:gridCol w:w="956"/>
        <w:gridCol w:w="1357"/>
      </w:tblGrid>
      <w:tr>
        <w:trPr/>
        <w:tc>
          <w:tcPr>
            <w:tcW w:w="117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Title of each class </w:t>
            </w:r>
          </w:p>
        </w:tc>
        <w:tc>
          <w:tcPr>
            <w:tcW w:w="1454"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54"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AADI</w:t>
            </w:r>
          </w:p>
        </w:tc>
        <w:tc>
          <w:tcPr>
            <w:tcW w:w="3269"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spacing w:lineRule="auto" w:line="288" w:before="0" w:after="0"/>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spacing w:lineRule="auto" w:line="288" w:before="0" w:after="0"/>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49" w:type="dxa"/>
        <w:jc w:val="center"/>
        <w:tblInd w:w="0" w:type="dxa"/>
        <w:tblCellMar>
          <w:top w:w="28" w:type="dxa"/>
          <w:left w:w="28" w:type="dxa"/>
          <w:bottom w:w="28" w:type="dxa"/>
          <w:right w:w="28" w:type="dxa"/>
        </w:tblCellMar>
      </w:tblPr>
      <w:tblGrid>
        <w:gridCol w:w="603"/>
        <w:gridCol w:w="530"/>
        <w:gridCol w:w="532"/>
        <w:gridCol w:w="109"/>
        <w:gridCol w:w="109"/>
        <w:gridCol w:w="109"/>
        <w:gridCol w:w="694"/>
        <w:gridCol w:w="694"/>
        <w:gridCol w:w="69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208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76"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spacing w:lineRule="auto" w:line="288" w:before="0" w:after="0"/>
        <w:rPr/>
      </w:pPr>
      <w:r>
        <w:rPr>
          <w:rFonts w:ascii="Times New Roman;sans-serif" w:hAnsi="Times New Roman;sans-serif"/>
          <w:b w:val="false"/>
          <w:color w:val="000000"/>
          <w:sz w:val="18"/>
        </w:rPr>
        <w:t>If an emerging growth company, indicate by check mark if the registrant has elected not to use the extended transition period for</w:t>
      </w:r>
      <w:r>
        <w:rPr>
          <w:color w:val="000000"/>
        </w:rPr>
        <w:t xml:space="preserve"> </w:t>
      </w:r>
      <w:r>
        <w:rPr>
          <w:rFonts w:ascii="Times New Roman;sans-serif" w:hAnsi="Times New Roman;sans-serif"/>
          <w:b w:val="false"/>
          <w:color w:val="000000"/>
          <w:sz w:val="18"/>
        </w:rPr>
        <w:t xml:space="preserve">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0" w:after="0"/>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As of May 5, 2023, the registrant had 24,436,990 shares of common stock, $0.0001 par value per share,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98"/>
        <w:gridCol w:w="261"/>
        <w:gridCol w:w="263"/>
        <w:gridCol w:w="2954"/>
        <w:gridCol w:w="2954"/>
        <w:gridCol w:w="2961"/>
        <w:gridCol w:w="149"/>
        <w:gridCol w:w="149"/>
        <w:gridCol w:w="216"/>
      </w:tblGrid>
      <w:tr>
        <w:trPr/>
        <w:tc>
          <w:tcPr>
            <w:tcW w:w="29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954" w:type="dxa"/>
            <w:tcBorders/>
            <w:shd w:fill="auto" w:val="clear"/>
            <w:vAlign w:val="center"/>
          </w:tcPr>
          <w:p>
            <w:pPr>
              <w:pStyle w:val="TableContents"/>
              <w:spacing w:before="0" w:after="283"/>
              <w:rPr>
                <w:sz w:val="4"/>
                <w:szCs w:val="4"/>
              </w:rPr>
            </w:pPr>
            <w:r>
              <w:rPr>
                <w:sz w:val="4"/>
                <w:szCs w:val="4"/>
              </w:rPr>
            </w:r>
          </w:p>
        </w:tc>
        <w:tc>
          <w:tcPr>
            <w:tcW w:w="2954" w:type="dxa"/>
            <w:tcBorders/>
            <w:shd w:fill="auto" w:val="clear"/>
            <w:vAlign w:val="center"/>
          </w:tcPr>
          <w:p>
            <w:pPr>
              <w:pStyle w:val="TableContents"/>
              <w:spacing w:before="0" w:after="283"/>
              <w:rPr>
                <w:sz w:val="4"/>
                <w:szCs w:val="4"/>
              </w:rPr>
            </w:pPr>
            <w:r>
              <w:rPr>
                <w:sz w:val="4"/>
                <w:szCs w:val="4"/>
              </w:rPr>
            </w:r>
          </w:p>
        </w:tc>
        <w:tc>
          <w:tcPr>
            <w:tcW w:w="296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0">
              <w:r>
                <w:rPr>
                  <w:rStyle w:val="InternetLink"/>
                  <w:rFonts w:ascii="Times New Roman;sans-serif" w:hAnsi="Times New Roman;sans-serif"/>
                  <w:b/>
                  <w:strike w:val="false"/>
                  <w:dstrike w:val="false"/>
                  <w:color w:val="000000"/>
                  <w:sz w:val="20"/>
                  <w:u w:val="none"/>
                  <w:effect w:val="none"/>
                </w:rPr>
                <w:t>PART I.</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0">
              <w:r>
                <w:rPr>
                  <w:rStyle w:val="InternetLink"/>
                  <w:rFonts w:ascii="Times New Roman;sans-serif" w:hAnsi="Times New Roman;sans-serif"/>
                  <w:b/>
                  <w:color w:val="0000FF"/>
                  <w:sz w:val="20"/>
                  <w:u w:val="single"/>
                </w:rPr>
                <w:t>FINANCIAL INFORMATION</w:t>
              </w:r>
            </w:hyperlink>
          </w:p>
        </w:tc>
        <w:tc>
          <w:tcPr>
            <w:tcW w:w="514"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0"/>
              <w:jc w:val="right"/>
              <w:rPr/>
            </w:pPr>
            <w:hyperlink w:anchor="i59e471b297954e588f4c116b515dae09_10">
              <w:r>
                <w:rPr>
                  <w:rStyle w:val="InternetLink"/>
                  <w:rFonts w:ascii="Times New Roman;sans-serif" w:hAnsi="Times New Roman;sans-serif"/>
                  <w:b w:val="false"/>
                  <w:strike w:val="false"/>
                  <w:dstrike w:val="false"/>
                  <w:color w:val="000000"/>
                  <w:sz w:val="20"/>
                  <w:u w:val="none"/>
                  <w:effect w:val="none"/>
                </w:rPr>
                <w:t>2</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
              <w:r>
                <w:rPr>
                  <w:rStyle w:val="InternetLink"/>
                  <w:rFonts w:ascii="Times New Roman;sans-serif" w:hAnsi="Times New Roman;sans-serif"/>
                  <w:b w:val="false"/>
                  <w:strike w:val="false"/>
                  <w:dstrike w:val="false"/>
                  <w:color w:val="000000"/>
                  <w:sz w:val="20"/>
                  <w:u w:val="none"/>
                  <w:effect w:val="none"/>
                </w:rPr>
                <w:t>Item 1.</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
              <w:r>
                <w:rPr>
                  <w:rStyle w:val="InternetLink"/>
                  <w:rFonts w:ascii="Times New Roman;sans-serif" w:hAnsi="Times New Roman;sans-serif"/>
                  <w:b w:val="false"/>
                  <w:color w:val="0000FF"/>
                  <w:sz w:val="20"/>
                  <w:u w:val="single"/>
                </w:rPr>
                <w:t>Condensed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3">
              <w:r>
                <w:rPr>
                  <w:rStyle w:val="InternetLink"/>
                  <w:rFonts w:ascii="Times New Roman;sans-serif" w:hAnsi="Times New Roman;sans-serif"/>
                  <w:b w:val="false"/>
                  <w:strike w:val="false"/>
                  <w:dstrike w:val="false"/>
                  <w:color w:val="000000"/>
                  <w:sz w:val="20"/>
                  <w:u w:val="none"/>
                  <w:effect w:val="none"/>
                </w:rPr>
                <w:t>2</w:t>
              </w:r>
            </w:hyperlink>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6">
              <w:r>
                <w:rPr>
                  <w:rStyle w:val="InternetLink"/>
                </w:rPr>
                <w:t xml:space="preserve">Condensed Consolidated Balance Sheets – </w:t>
              </w:r>
            </w:hyperlink>
            <w:hyperlink w:anchor="i59e471b297954e588f4c116b515dae09_16">
              <w:r>
                <w:rPr>
                  <w:rStyle w:val="InternetLink"/>
                </w:rPr>
                <w:t>March</w:t>
              </w:r>
            </w:hyperlink>
            <w:hyperlink w:anchor="i59e471b297954e588f4c116b515dae09_16">
              <w:r>
                <w:rPr>
                  <w:rStyle w:val="InternetLink"/>
                </w:rPr>
                <w:t xml:space="preserve"> 3</w:t>
              </w:r>
            </w:hyperlink>
            <w:hyperlink w:anchor="i59e471b297954e588f4c116b515dae09_16">
              <w:r>
                <w:rPr>
                  <w:rStyle w:val="InternetLink"/>
                </w:rPr>
                <w:t>1</w:t>
              </w:r>
            </w:hyperlink>
            <w:hyperlink w:anchor="i59e471b297954e588f4c116b515dae09_16">
              <w:r>
                <w:rPr>
                  <w:rStyle w:val="InternetLink"/>
                </w:rPr>
                <w:t>, 202</w:t>
              </w:r>
            </w:hyperlink>
            <w:hyperlink w:anchor="i59e471b297954e588f4c116b515dae09_16">
              <w:r>
                <w:rPr>
                  <w:rStyle w:val="InternetLink"/>
                </w:rPr>
                <w:t>3</w:t>
              </w:r>
            </w:hyperlink>
            <w:hyperlink w:anchor="i59e471b297954e588f4c116b515dae09_16">
              <w:r>
                <w:rPr>
                  <w:rStyle w:val="InternetLink"/>
                </w:rPr>
                <w:t xml:space="preserve"> and December 31, 202</w:t>
              </w:r>
            </w:hyperlink>
            <w:hyperlink w:anchor="i59e471b297954e588f4c116b515dae09_16">
              <w:r>
                <w:rPr>
                  <w:rStyle w:val="InternetLink"/>
                </w:rPr>
                <w:t>2</w:t>
              </w:r>
            </w:hyperlink>
            <w:hyperlink w:anchor="i59e471b297954e588f4c116b515dae09_16">
              <w:r>
                <w:rPr>
                  <w:rStyle w:val="InternetLink"/>
                </w:rPr>
                <w:t xml:space="preserve"> (Unaudited)</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6">
              <w:r>
                <w:rPr>
                  <w:rStyle w:val="InternetLink"/>
                  <w:rFonts w:ascii="Times New Roman;sans-serif" w:hAnsi="Times New Roman;sans-serif"/>
                  <w:b w:val="false"/>
                  <w:strike w:val="false"/>
                  <w:dstrike w:val="false"/>
                  <w:color w:val="000000"/>
                  <w:sz w:val="20"/>
                  <w:u w:val="none"/>
                  <w:effect w:val="none"/>
                </w:rPr>
                <w:t>2</w:t>
              </w:r>
            </w:hyperlink>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9">
              <w:r>
                <w:rPr>
                  <w:rStyle w:val="InternetLink"/>
                </w:rPr>
                <w:t>Condensed Consolidated Statements of Operations</w:t>
              </w:r>
            </w:hyperlink>
            <w:hyperlink w:anchor="i59e471b297954e588f4c116b515dae09_19">
              <w:r>
                <w:rPr>
                  <w:rStyle w:val="InternetLink"/>
                </w:rPr>
                <w:t xml:space="preserve"> </w:t>
              </w:r>
            </w:hyperlink>
            <w:hyperlink w:anchor="i59e471b297954e588f4c116b515dae09_19">
              <w:r>
                <w:rPr>
                  <w:rStyle w:val="InternetLink"/>
                </w:rPr>
                <w:t>and Comprehensi</w:t>
              </w:r>
            </w:hyperlink>
            <w:hyperlink w:anchor="i59e471b297954e588f4c116b515dae09_19">
              <w:r>
                <w:rPr>
                  <w:rStyle w:val="InternetLink"/>
                </w:rPr>
                <w:t>ve Loss</w:t>
              </w:r>
            </w:hyperlink>
            <w:hyperlink w:anchor="i59e471b297954e588f4c116b515dae09_19">
              <w:r>
                <w:rPr>
                  <w:rStyle w:val="InternetLink"/>
                </w:rPr>
                <w:t xml:space="preserve"> – Three </w:t>
              </w:r>
            </w:hyperlink>
            <w:hyperlink w:anchor="i59e471b297954e588f4c116b515dae09_19">
              <w:r>
                <w:rPr>
                  <w:rStyle w:val="InternetLink"/>
                </w:rPr>
                <w:t xml:space="preserve">Months Ended </w:t>
              </w:r>
            </w:hyperlink>
            <w:hyperlink w:anchor="i59e471b297954e588f4c116b515dae09_19">
              <w:r>
                <w:rPr>
                  <w:rStyle w:val="InternetLink"/>
                </w:rPr>
                <w:t>March</w:t>
              </w:r>
            </w:hyperlink>
            <w:hyperlink w:anchor="i59e471b297954e588f4c116b515dae09_19">
              <w:r>
                <w:rPr>
                  <w:rStyle w:val="InternetLink"/>
                </w:rPr>
                <w:t xml:space="preserve"> 3</w:t>
              </w:r>
            </w:hyperlink>
            <w:hyperlink w:anchor="i59e471b297954e588f4c116b515dae09_19">
              <w:r>
                <w:rPr>
                  <w:rStyle w:val="InternetLink"/>
                </w:rPr>
                <w:t>1</w:t>
              </w:r>
            </w:hyperlink>
            <w:hyperlink w:anchor="i59e471b297954e588f4c116b515dae09_19">
              <w:r>
                <w:rPr>
                  <w:rStyle w:val="InternetLink"/>
                </w:rPr>
                <w:t>, 202</w:t>
              </w:r>
            </w:hyperlink>
            <w:hyperlink w:anchor="i59e471b297954e588f4c116b515dae09_19">
              <w:r>
                <w:rPr>
                  <w:rStyle w:val="InternetLink"/>
                </w:rPr>
                <w:t>3</w:t>
              </w:r>
            </w:hyperlink>
            <w:hyperlink w:anchor="i59e471b297954e588f4c116b515dae09_19">
              <w:r>
                <w:rPr>
                  <w:rStyle w:val="InternetLink"/>
                </w:rPr>
                <w:t xml:space="preserve"> and 202</w:t>
              </w:r>
            </w:hyperlink>
            <w:hyperlink w:anchor="i59e471b297954e588f4c116b515dae09_19">
              <w:r>
                <w:rPr>
                  <w:rStyle w:val="InternetLink"/>
                </w:rPr>
                <w:t>2</w:t>
              </w:r>
            </w:hyperlink>
            <w:hyperlink w:anchor="i59e471b297954e588f4c116b515dae09_19">
              <w:r>
                <w:rPr>
                  <w:rStyle w:val="InternetLink"/>
                </w:rPr>
                <w:t xml:space="preserve"> (Unaudited)</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9">
              <w:r>
                <w:rPr>
                  <w:rStyle w:val="InternetLink"/>
                  <w:rFonts w:ascii="Times New Roman;sans-serif" w:hAnsi="Times New Roman;sans-serif"/>
                  <w:b w:val="false"/>
                  <w:strike w:val="false"/>
                  <w:dstrike w:val="false"/>
                  <w:color w:val="000000"/>
                  <w:sz w:val="20"/>
                  <w:u w:val="none"/>
                  <w:effect w:val="none"/>
                </w:rPr>
                <w:t>3</w:t>
              </w:r>
            </w:hyperlink>
          </w:p>
        </w:tc>
      </w:tr>
      <w:tr>
        <w:trPr/>
        <w:tc>
          <w:tcPr>
            <w:tcW w:w="822" w:type="dxa"/>
            <w:gridSpan w:val="3"/>
            <w:tcBorders/>
            <w:shd w:fill="auto" w:val="clear"/>
            <w:vAlign w:val="center"/>
          </w:tcPr>
          <w:p>
            <w:pPr>
              <w:pStyle w:val="TableContents"/>
              <w:spacing w:before="0" w:after="283"/>
              <w:rPr>
                <w:sz w:val="4"/>
                <w:szCs w:val="4"/>
              </w:rPr>
            </w:pPr>
            <w:r>
              <w:rPr>
                <w:sz w:val="4"/>
                <w:szCs w:val="4"/>
              </w:rPr>
            </w:r>
          </w:p>
        </w:tc>
        <w:tc>
          <w:tcPr>
            <w:tcW w:w="8869" w:type="dxa"/>
            <w:gridSpan w:val="3"/>
            <w:tcBorders/>
            <w:shd w:fill="auto" w:val="clear"/>
            <w:vAlign w:val="center"/>
          </w:tcPr>
          <w:p>
            <w:pPr>
              <w:pStyle w:val="TableContents"/>
              <w:spacing w:before="0" w:after="283"/>
              <w:rPr>
                <w:sz w:val="4"/>
                <w:szCs w:val="4"/>
              </w:rPr>
            </w:pPr>
            <w:r>
              <w:rPr>
                <w:sz w:val="4"/>
                <w:szCs w:val="4"/>
              </w:rPr>
            </w:r>
          </w:p>
        </w:tc>
        <w:tc>
          <w:tcPr>
            <w:tcW w:w="514" w:type="dxa"/>
            <w:gridSpan w:val="3"/>
            <w:tcBorders/>
            <w:shd w:fill="auto" w:val="cle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22">
              <w:r>
                <w:rPr>
                  <w:rStyle w:val="InternetLink"/>
                </w:rPr>
                <w:t>Condensed Consolidated Statements of Stockholders’ Equity</w:t>
              </w:r>
            </w:hyperlink>
            <w:hyperlink w:anchor="i59e471b297954e588f4c116b515dae09_22">
              <w:r>
                <w:rPr>
                  <w:rStyle w:val="InternetLink"/>
                </w:rPr>
                <w:t xml:space="preserve"> – Three </w:t>
              </w:r>
            </w:hyperlink>
            <w:hyperlink w:anchor="i59e471b297954e588f4c116b515dae09_22">
              <w:r>
                <w:rPr>
                  <w:rStyle w:val="InternetLink"/>
                </w:rPr>
                <w:t>Months Ended</w:t>
              </w:r>
            </w:hyperlink>
            <w:hyperlink w:anchor="i59e471b297954e588f4c116b515dae09_22">
              <w:r>
                <w:rPr>
                  <w:rStyle w:val="InternetLink"/>
                </w:rPr>
                <w:t xml:space="preserve"> March 31</w:t>
              </w:r>
            </w:hyperlink>
            <w:hyperlink w:anchor="i59e471b297954e588f4c116b515dae09_22">
              <w:r>
                <w:rPr>
                  <w:rStyle w:val="InternetLink"/>
                </w:rPr>
                <w:t>, 202</w:t>
              </w:r>
            </w:hyperlink>
            <w:hyperlink w:anchor="i59e471b297954e588f4c116b515dae09_22">
              <w:r>
                <w:rPr>
                  <w:rStyle w:val="InternetLink"/>
                </w:rPr>
                <w:t>3</w:t>
              </w:r>
            </w:hyperlink>
            <w:hyperlink w:anchor="i59e471b297954e588f4c116b515dae09_22">
              <w:r>
                <w:rPr>
                  <w:rStyle w:val="InternetLink"/>
                </w:rPr>
                <w:t xml:space="preserve"> and 202</w:t>
              </w:r>
            </w:hyperlink>
            <w:hyperlink w:anchor="i59e471b297954e588f4c116b515dae09_22">
              <w:r>
                <w:rPr>
                  <w:rStyle w:val="InternetLink"/>
                </w:rPr>
                <w:t>2</w:t>
              </w:r>
            </w:hyperlink>
            <w:hyperlink w:anchor="i59e471b297954e588f4c116b515dae09_22">
              <w:r>
                <w:rPr>
                  <w:rStyle w:val="InternetLink"/>
                </w:rPr>
                <w:t xml:space="preserve"> (Unaudited)</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22">
              <w:r>
                <w:rPr>
                  <w:rStyle w:val="InternetLink"/>
                  <w:rFonts w:ascii="Times New Roman;sans-serif" w:hAnsi="Times New Roman;sans-serif"/>
                  <w:b w:val="false"/>
                  <w:strike w:val="false"/>
                  <w:dstrike w:val="false"/>
                  <w:color w:val="000000"/>
                  <w:sz w:val="20"/>
                  <w:u w:val="none"/>
                  <w:effect w:val="none"/>
                </w:rPr>
                <w:t>4</w:t>
              </w:r>
            </w:hyperlink>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25">
              <w:r>
                <w:rPr>
                  <w:rStyle w:val="InternetLink"/>
                </w:rPr>
                <w:t xml:space="preserve">Condensed Consolidated Statements of Cash Flows – </w:t>
              </w:r>
            </w:hyperlink>
            <w:hyperlink w:anchor="i59e471b297954e588f4c116b515dae09_25">
              <w:r>
                <w:rPr>
                  <w:rStyle w:val="InternetLink"/>
                </w:rPr>
                <w:t>Three</w:t>
              </w:r>
            </w:hyperlink>
            <w:hyperlink w:anchor="i59e471b297954e588f4c116b515dae09_25">
              <w:r>
                <w:rPr>
                  <w:rStyle w:val="InternetLink"/>
                </w:rPr>
                <w:t xml:space="preserve"> Months Ended </w:t>
              </w:r>
            </w:hyperlink>
            <w:hyperlink w:anchor="i59e471b297954e588f4c116b515dae09_25">
              <w:r>
                <w:rPr>
                  <w:rStyle w:val="InternetLink"/>
                </w:rPr>
                <w:t>March 31</w:t>
              </w:r>
            </w:hyperlink>
            <w:hyperlink w:anchor="i59e471b297954e588f4c116b515dae09_25">
              <w:r>
                <w:rPr>
                  <w:rStyle w:val="InternetLink"/>
                </w:rPr>
                <w:t>, 202</w:t>
              </w:r>
            </w:hyperlink>
            <w:hyperlink w:anchor="i59e471b297954e588f4c116b515dae09_25">
              <w:r>
                <w:rPr>
                  <w:rStyle w:val="InternetLink"/>
                </w:rPr>
                <w:t>3</w:t>
              </w:r>
            </w:hyperlink>
            <w:hyperlink w:anchor="i59e471b297954e588f4c116b515dae09_25">
              <w:r>
                <w:rPr>
                  <w:rStyle w:val="InternetLink"/>
                </w:rPr>
                <w:t xml:space="preserve"> and 202</w:t>
              </w:r>
            </w:hyperlink>
            <w:hyperlink w:anchor="i59e471b297954e588f4c116b515dae09_25">
              <w:r>
                <w:rPr>
                  <w:rStyle w:val="InternetLink"/>
                </w:rPr>
                <w:t>2</w:t>
              </w:r>
            </w:hyperlink>
            <w:hyperlink w:anchor="i59e471b297954e588f4c116b515dae09_25">
              <w:r>
                <w:rPr>
                  <w:rStyle w:val="InternetLink"/>
                </w:rPr>
                <w:t xml:space="preserve"> (Unaudited)</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25">
              <w:r>
                <w:rPr>
                  <w:rStyle w:val="InternetLink"/>
                  <w:rFonts w:ascii="Times New Roman;sans-serif" w:hAnsi="Times New Roman;sans-serif"/>
                  <w:b w:val="false"/>
                  <w:strike w:val="false"/>
                  <w:dstrike w:val="false"/>
                  <w:color w:val="000000"/>
                  <w:sz w:val="20"/>
                  <w:u w:val="none"/>
                  <w:effect w:val="none"/>
                </w:rPr>
                <w:t>4</w:t>
              </w:r>
            </w:hyperlink>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28">
              <w:r>
                <w:rPr>
                  <w:rStyle w:val="InternetLink"/>
                  <w:rFonts w:ascii="Times New Roman;sans-serif" w:hAnsi="Times New Roman;sans-serif"/>
                  <w:b w:val="false"/>
                  <w:color w:val="0000FF"/>
                  <w:sz w:val="20"/>
                  <w:u w:val="single"/>
                </w:rPr>
                <w:t>Notes to Condensed Consolidated 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28">
              <w:r>
                <w:rPr>
                  <w:rStyle w:val="InternetLink"/>
                  <w:rFonts w:ascii="Times New Roman;sans-serif" w:hAnsi="Times New Roman;sans-serif"/>
                  <w:b w:val="false"/>
                  <w:strike w:val="false"/>
                  <w:dstrike w:val="false"/>
                  <w:color w:val="000000"/>
                  <w:sz w:val="20"/>
                  <w:u w:val="none"/>
                  <w:effect w:val="none"/>
                </w:rPr>
                <w:t>6</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85">
              <w:r>
                <w:rPr>
                  <w:rStyle w:val="InternetLink"/>
                  <w:rFonts w:ascii="Times New Roman;sans-serif" w:hAnsi="Times New Roman;sans-serif"/>
                  <w:b w:val="false"/>
                  <w:strike w:val="false"/>
                  <w:dstrike w:val="false"/>
                  <w:color w:val="000000"/>
                  <w:sz w:val="20"/>
                  <w:u w:val="none"/>
                  <w:effect w:val="none"/>
                </w:rPr>
                <w:t>Item 2.</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85">
              <w:r>
                <w:rPr>
                  <w:rStyle w:val="InternetLink"/>
                  <w:rFonts w:ascii="Times New Roman;sans-serif" w:hAnsi="Times New Roman;sans-serif"/>
                  <w:b w:val="false"/>
                  <w:strike w:val="false"/>
                  <w:dstrike w:val="false"/>
                  <w:color w:val="000000"/>
                  <w:sz w:val="20"/>
                  <w:u w:val="none"/>
                  <w:effect w:val="none"/>
                </w:rPr>
                <w:t>25</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24">
              <w:r>
                <w:rPr>
                  <w:rStyle w:val="InternetLink"/>
                  <w:rFonts w:ascii="Times New Roman;sans-serif" w:hAnsi="Times New Roman;sans-serif"/>
                  <w:b w:val="false"/>
                  <w:strike w:val="false"/>
                  <w:dstrike w:val="false"/>
                  <w:color w:val="000000"/>
                  <w:sz w:val="20"/>
                  <w:u w:val="none"/>
                  <w:effect w:val="none"/>
                </w:rPr>
                <w:t>Item 3.</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24">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24">
              <w:r>
                <w:rPr>
                  <w:rStyle w:val="InternetLink"/>
                  <w:rFonts w:ascii="Times New Roman;sans-serif" w:hAnsi="Times New Roman;sans-serif"/>
                  <w:b w:val="false"/>
                  <w:strike w:val="false"/>
                  <w:dstrike w:val="false"/>
                  <w:color w:val="000000"/>
                  <w:sz w:val="20"/>
                  <w:u w:val="none"/>
                  <w:effect w:val="none"/>
                </w:rPr>
                <w:t>33</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27">
              <w:r>
                <w:rPr>
                  <w:rStyle w:val="InternetLink"/>
                  <w:rFonts w:ascii="Times New Roman;sans-serif" w:hAnsi="Times New Roman;sans-serif"/>
                  <w:b w:val="false"/>
                  <w:strike w:val="false"/>
                  <w:dstrike w:val="false"/>
                  <w:color w:val="000000"/>
                  <w:sz w:val="20"/>
                  <w:u w:val="none"/>
                  <w:effect w:val="none"/>
                </w:rPr>
                <w:t>Item 4.</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27">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0">
              <w:r>
                <w:rPr>
                  <w:rStyle w:val="InternetLink"/>
                  <w:rFonts w:ascii="Times New Roman;sans-serif" w:hAnsi="Times New Roman;sans-serif"/>
                  <w:b/>
                  <w:strike w:val="false"/>
                  <w:dstrike w:val="false"/>
                  <w:color w:val="000000"/>
                  <w:sz w:val="20"/>
                  <w:u w:val="none"/>
                  <w:effect w:val="none"/>
                </w:rPr>
                <w:t>PART II.</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0">
              <w:r>
                <w:rPr>
                  <w:rStyle w:val="InternetLink"/>
                  <w:rFonts w:ascii="Times New Roman;sans-serif" w:hAnsi="Times New Roman;sans-serif"/>
                  <w:b/>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30">
              <w:r>
                <w:rPr>
                  <w:rStyle w:val="InternetLink"/>
                  <w:rFonts w:ascii="Times New Roman;sans-serif" w:hAnsi="Times New Roman;sans-serif"/>
                  <w:b w:val="false"/>
                  <w:strike w:val="false"/>
                  <w:dstrike w:val="false"/>
                  <w:color w:val="000000"/>
                  <w:sz w:val="20"/>
                  <w:u w:val="none"/>
                  <w:effect w:val="none"/>
                </w:rPr>
                <w:t>35</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3">
              <w:r>
                <w:rPr>
                  <w:rStyle w:val="InternetLink"/>
                  <w:rFonts w:ascii="Times New Roman;sans-serif" w:hAnsi="Times New Roman;sans-serif"/>
                  <w:b w:val="false"/>
                  <w:strike w:val="false"/>
                  <w:dstrike w:val="false"/>
                  <w:color w:val="000000"/>
                  <w:sz w:val="20"/>
                  <w:u w:val="none"/>
                  <w:effect w:val="none"/>
                </w:rPr>
                <w:t>Item 1.</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3">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6">
              <w:r>
                <w:rPr>
                  <w:rStyle w:val="InternetLink"/>
                  <w:rFonts w:ascii="Times New Roman;sans-serif" w:hAnsi="Times New Roman;sans-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36">
              <w:r>
                <w:rPr>
                  <w:rStyle w:val="InternetLink"/>
                  <w:rFonts w:ascii="Times New Roman;sans-serif" w:hAnsi="Times New Roman;sans-serif"/>
                  <w:b w:val="false"/>
                  <w:strike w:val="false"/>
                  <w:dstrike w:val="false"/>
                  <w:color w:val="000000"/>
                  <w:sz w:val="20"/>
                  <w:u w:val="none"/>
                  <w:effect w:val="none"/>
                </w:rPr>
                <w:t>35</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9">
              <w:r>
                <w:rPr>
                  <w:rStyle w:val="InternetLink"/>
                  <w:rFonts w:ascii="Times New Roman;sans-serif" w:hAnsi="Times New Roman;sans-serif"/>
                  <w:b w:val="false"/>
                  <w:strike w:val="false"/>
                  <w:dstrike w:val="false"/>
                  <w:color w:val="000000"/>
                  <w:sz w:val="20"/>
                  <w:u w:val="none"/>
                  <w:effect w:val="none"/>
                </w:rPr>
                <w:t>Item 2.</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39">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39">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42">
              <w:r>
                <w:rPr>
                  <w:rStyle w:val="InternetLink"/>
                  <w:rFonts w:ascii="Times New Roman;sans-serif" w:hAnsi="Times New Roman;sans-serif"/>
                  <w:b w:val="false"/>
                  <w:strike w:val="false"/>
                  <w:dstrike w:val="false"/>
                  <w:color w:val="000000"/>
                  <w:sz w:val="20"/>
                  <w:u w:val="none"/>
                  <w:effect w:val="none"/>
                </w:rPr>
                <w:t>Item 3.</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42">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42">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45">
              <w:r>
                <w:rPr>
                  <w:rStyle w:val="InternetLink"/>
                  <w:rFonts w:ascii="Times New Roman;sans-serif" w:hAnsi="Times New Roman;sans-serif"/>
                  <w:b w:val="false"/>
                  <w:strike w:val="false"/>
                  <w:dstrike w:val="false"/>
                  <w:color w:val="000000"/>
                  <w:sz w:val="20"/>
                  <w:u w:val="none"/>
                  <w:effect w:val="none"/>
                </w:rPr>
                <w:t>Item 4.</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45">
              <w:r>
                <w:rPr>
                  <w:rStyle w:val="InternetLink"/>
                  <w:rFonts w:ascii="Times New Roman;sans-serif" w:hAnsi="Times New Roman;sans-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45">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48">
              <w:r>
                <w:rPr>
                  <w:rStyle w:val="InternetLink"/>
                  <w:rFonts w:ascii="Times New Roman;sans-serif" w:hAnsi="Times New Roman;sans-serif"/>
                  <w:b w:val="false"/>
                  <w:strike w:val="false"/>
                  <w:dstrike w:val="false"/>
                  <w:color w:val="000000"/>
                  <w:sz w:val="20"/>
                  <w:u w:val="none"/>
                  <w:effect w:val="none"/>
                </w:rPr>
                <w:t>Item 5.</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48">
              <w:r>
                <w:rPr>
                  <w:rStyle w:val="InternetLink"/>
                  <w:rFonts w:ascii="Times New Roman;sans-serif" w:hAnsi="Times New Roman;sans-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48">
              <w:r>
                <w:rPr>
                  <w:rStyle w:val="InternetLink"/>
                  <w:rFonts w:ascii="Times New Roman;sans-serif" w:hAnsi="Times New Roman;sans-serif"/>
                  <w:b w:val="false"/>
                  <w:strike w:val="false"/>
                  <w:dstrike w:val="false"/>
                  <w:color w:val="000000"/>
                  <w:sz w:val="20"/>
                  <w:u w:val="none"/>
                  <w:effect w:val="none"/>
                </w:rPr>
                <w:t>99</w:t>
              </w:r>
            </w:hyperlink>
          </w:p>
        </w:tc>
      </w:tr>
      <w:tr>
        <w:trPr/>
        <w:tc>
          <w:tcPr>
            <w:tcW w:w="82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51">
              <w:r>
                <w:rPr>
                  <w:rStyle w:val="InternetLink"/>
                  <w:rFonts w:ascii="Times New Roman;sans-serif" w:hAnsi="Times New Roman;sans-serif"/>
                  <w:b w:val="false"/>
                  <w:strike w:val="false"/>
                  <w:dstrike w:val="false"/>
                  <w:color w:val="000000"/>
                  <w:sz w:val="20"/>
                  <w:u w:val="none"/>
                  <w:effect w:val="none"/>
                </w:rPr>
                <w:t>Item 6.</w:t>
              </w:r>
            </w:hyperlink>
          </w:p>
        </w:tc>
        <w:tc>
          <w:tcPr>
            <w:tcW w:w="886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51">
              <w:r>
                <w:rPr>
                  <w:rStyle w:val="InternetLink"/>
                  <w:rFonts w:ascii="Times New Roman;sans-serif" w:hAnsi="Times New Roman;sans-serif"/>
                  <w:b w:val="false"/>
                  <w:color w:val="0000FF"/>
                  <w:sz w:val="20"/>
                  <w:u w:val="single"/>
                </w:rPr>
                <w:t>Exhibits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51">
              <w:r>
                <w:rPr>
                  <w:rStyle w:val="InternetLink"/>
                  <w:rFonts w:ascii="Times New Roman;sans-serif" w:hAnsi="Times New Roman;sans-serif"/>
                  <w:b w:val="false"/>
                  <w:strike w:val="false"/>
                  <w:dstrike w:val="false"/>
                  <w:color w:val="000000"/>
                  <w:sz w:val="20"/>
                  <w:u w:val="none"/>
                  <w:effect w:val="none"/>
                </w:rPr>
                <w:t>100</w:t>
              </w:r>
            </w:hyperlink>
          </w:p>
        </w:tc>
      </w:tr>
      <w:tr>
        <w:trPr/>
        <w:tc>
          <w:tcPr>
            <w:tcW w:w="9691" w:type="dxa"/>
            <w:gridSpan w:val="6"/>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59e471b297954e588f4c116b515dae09_154">
              <w:r>
                <w:rPr>
                  <w:rStyle w:val="InternetLink"/>
                  <w:rFonts w:ascii="Times New Roman;sans-serif" w:hAnsi="Times New Roman;sans-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59e471b297954e588f4c116b515dae09_154">
              <w:r>
                <w:rPr>
                  <w:rStyle w:val="InternetLink"/>
                  <w:rFonts w:ascii="Times New Roman;sans-serif" w:hAnsi="Times New Roman;sans-serif"/>
                  <w:b w:val="false"/>
                  <w:strike w:val="false"/>
                  <w:dstrike w:val="false"/>
                  <w:color w:val="000000"/>
                  <w:sz w:val="20"/>
                  <w:u w:val="none"/>
                  <w:effect w:val="none"/>
                </w:rPr>
                <w:t>101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par value)</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CellMar>
          <w:top w:w="28" w:type="dxa"/>
          <w:left w:w="28" w:type="dxa"/>
          <w:bottom w:w="28" w:type="dxa"/>
          <w:right w:w="28" w:type="dxa"/>
        </w:tblCellMar>
      </w:tblPr>
      <w:tblGrid>
        <w:gridCol w:w="2764"/>
        <w:gridCol w:w="2376"/>
        <w:gridCol w:w="2400"/>
        <w:gridCol w:w="211"/>
        <w:gridCol w:w="826"/>
        <w:gridCol w:w="109"/>
        <w:gridCol w:w="109"/>
        <w:gridCol w:w="109"/>
        <w:gridCol w:w="109"/>
        <w:gridCol w:w="211"/>
        <w:gridCol w:w="826"/>
        <w:gridCol w:w="155"/>
      </w:tblGrid>
      <w:tr>
        <w:trPr/>
        <w:tc>
          <w:tcPr>
            <w:tcW w:w="2764" w:type="dxa"/>
            <w:tcBorders/>
            <w:shd w:fill="auto" w:val="clear"/>
            <w:vAlign w:val="center"/>
          </w:tcPr>
          <w:p>
            <w:pPr>
              <w:pStyle w:val="TableContents"/>
              <w:spacing w:before="0" w:after="283"/>
              <w:rPr>
                <w:sz w:val="4"/>
                <w:szCs w:val="4"/>
              </w:rPr>
            </w:pPr>
            <w:r>
              <w:rPr>
                <w:sz w:val="4"/>
                <w:szCs w:val="4"/>
              </w:rPr>
            </w:r>
          </w:p>
        </w:tc>
        <w:tc>
          <w:tcPr>
            <w:tcW w:w="2376"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licensor (Note 8)</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no shares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as of March 31, 2023 and December 31, 2022</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24,436,990</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24,435,007 shares issued and outstanding as of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earnings per share amounts)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CellMar>
          <w:top w:w="28" w:type="dxa"/>
          <w:left w:w="28" w:type="dxa"/>
          <w:bottom w:w="28" w:type="dxa"/>
          <w:right w:w="28" w:type="dxa"/>
        </w:tblCellMar>
      </w:tblPr>
      <w:tblGrid>
        <w:gridCol w:w="2668"/>
        <w:gridCol w:w="2197"/>
        <w:gridCol w:w="2151"/>
        <w:gridCol w:w="240"/>
        <w:gridCol w:w="841"/>
        <w:gridCol w:w="109"/>
        <w:gridCol w:w="109"/>
        <w:gridCol w:w="109"/>
        <w:gridCol w:w="109"/>
        <w:gridCol w:w="240"/>
        <w:gridCol w:w="841"/>
        <w:gridCol w:w="109"/>
        <w:gridCol w:w="109"/>
        <w:gridCol w:w="109"/>
        <w:gridCol w:w="109"/>
        <w:gridCol w:w="155"/>
      </w:tblGrid>
      <w:tr>
        <w:trPr/>
        <w:tc>
          <w:tcPr>
            <w:tcW w:w="2668"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40"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used in computing net loss per share attributable to common stockholders,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26,862,646 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20,914,842 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spacing w:lineRule="auto" w:line="288" w:before="240" w:after="283"/>
        <w:jc w:val="center"/>
        <w:rPr/>
      </w:pPr>
      <w:r>
        <w:rPr>
          <w:rFonts w:ascii="Times New Roman;sans-serif" w:hAnsi="Times New Roman;sans-serif"/>
          <w:b/>
          <w:color w:val="000000"/>
          <w:sz w:val="20"/>
        </w:rPr>
        <w:t>Condensed Consolidated Statements of</w:t>
      </w:r>
      <w:r>
        <w:rPr>
          <w:color w:val="000000"/>
        </w:rPr>
        <w:t xml:space="preserve"> </w:t>
      </w:r>
      <w:r>
        <w:rPr>
          <w:rFonts w:ascii="Times New Roman;sans-serif" w:hAnsi="Times New Roman;sans-serif"/>
          <w:b/>
          <w:color w:val="000000"/>
          <w:sz w:val="20"/>
        </w:rPr>
        <w:t>Stockholders’ Equity</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including share amounts)</w:t>
      </w:r>
    </w:p>
    <w:p>
      <w:pPr>
        <w:pStyle w:val="TextBody"/>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CellMar>
          <w:top w:w="28" w:type="dxa"/>
          <w:left w:w="28" w:type="dxa"/>
          <w:bottom w:w="28" w:type="dxa"/>
          <w:right w:w="28" w:type="dxa"/>
        </w:tblCellMar>
      </w:tblPr>
      <w:tblGrid>
        <w:gridCol w:w="922"/>
        <w:gridCol w:w="504"/>
        <w:gridCol w:w="507"/>
        <w:gridCol w:w="360"/>
        <w:gridCol w:w="361"/>
        <w:gridCol w:w="196"/>
        <w:gridCol w:w="109"/>
        <w:gridCol w:w="109"/>
        <w:gridCol w:w="109"/>
        <w:gridCol w:w="227"/>
        <w:gridCol w:w="275"/>
        <w:gridCol w:w="117"/>
        <w:gridCol w:w="109"/>
        <w:gridCol w:w="109"/>
        <w:gridCol w:w="109"/>
        <w:gridCol w:w="222"/>
        <w:gridCol w:w="869"/>
        <w:gridCol w:w="114"/>
        <w:gridCol w:w="109"/>
        <w:gridCol w:w="109"/>
        <w:gridCol w:w="109"/>
        <w:gridCol w:w="402"/>
        <w:gridCol w:w="917"/>
        <w:gridCol w:w="208"/>
        <w:gridCol w:w="109"/>
        <w:gridCol w:w="109"/>
        <w:gridCol w:w="109"/>
        <w:gridCol w:w="211"/>
        <w:gridCol w:w="851"/>
        <w:gridCol w:w="109"/>
        <w:gridCol w:w="109"/>
        <w:gridCol w:w="109"/>
        <w:gridCol w:w="109"/>
        <w:gridCol w:w="211"/>
        <w:gridCol w:w="826"/>
        <w:gridCol w:w="161"/>
      </w:tblGrid>
      <w:tr>
        <w:trPr/>
        <w:tc>
          <w:tcPr>
            <w:tcW w:w="92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r>
      <w:tr>
        <w:trPr/>
        <w:tc>
          <w:tcPr>
            <w:tcW w:w="1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 xml:space="preserve">Capital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364,437 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933"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tbl>
      <w:tblPr>
        <w:tblW w:w="11117" w:type="dxa"/>
        <w:jc w:val="left"/>
        <w:tblInd w:w="0" w:type="dxa"/>
        <w:tblCellMar>
          <w:top w:w="28" w:type="dxa"/>
          <w:left w:w="28" w:type="dxa"/>
          <w:bottom w:w="28" w:type="dxa"/>
          <w:right w:w="28" w:type="dxa"/>
        </w:tblCellMar>
      </w:tblPr>
      <w:tblGrid>
        <w:gridCol w:w="667"/>
        <w:gridCol w:w="296"/>
        <w:gridCol w:w="298"/>
        <w:gridCol w:w="109"/>
        <w:gridCol w:w="109"/>
        <w:gridCol w:w="109"/>
        <w:gridCol w:w="109"/>
        <w:gridCol w:w="255"/>
        <w:gridCol w:w="255"/>
        <w:gridCol w:w="256"/>
        <w:gridCol w:w="109"/>
        <w:gridCol w:w="431"/>
        <w:gridCol w:w="290"/>
        <w:gridCol w:w="291"/>
        <w:gridCol w:w="195"/>
        <w:gridCol w:w="195"/>
        <w:gridCol w:w="196"/>
        <w:gridCol w:w="445"/>
        <w:gridCol w:w="540"/>
        <w:gridCol w:w="231"/>
        <w:gridCol w:w="109"/>
        <w:gridCol w:w="109"/>
        <w:gridCol w:w="109"/>
        <w:gridCol w:w="211"/>
        <w:gridCol w:w="826"/>
        <w:gridCol w:w="109"/>
        <w:gridCol w:w="175"/>
        <w:gridCol w:w="175"/>
        <w:gridCol w:w="176"/>
        <w:gridCol w:w="211"/>
        <w:gridCol w:w="406"/>
        <w:gridCol w:w="109"/>
        <w:gridCol w:w="109"/>
        <w:gridCol w:w="109"/>
        <w:gridCol w:w="109"/>
        <w:gridCol w:w="211"/>
        <w:gridCol w:w="841"/>
        <w:gridCol w:w="109"/>
        <w:gridCol w:w="109"/>
        <w:gridCol w:w="109"/>
        <w:gridCol w:w="109"/>
        <w:gridCol w:w="211"/>
        <w:gridCol w:w="826"/>
        <w:gridCol w:w="154"/>
      </w:tblGrid>
      <w:tr>
        <w:trPr/>
        <w:tc>
          <w:tcPr>
            <w:tcW w:w="66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5"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2022</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Capital</w:t>
            </w:r>
          </w:p>
        </w:tc>
        <w:tc>
          <w:tcPr>
            <w:tcW w:w="5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006" w:type="dxa"/>
            <w:gridSpan w:val="12"/>
            <w:tcBorders/>
            <w:shd w:fill="auto" w:val="clea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72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120" w:after="283"/>
        <w:rPr/>
      </w:pPr>
      <w:r>
        <w:rPr/>
      </w:r>
    </w:p>
    <w:p>
      <w:pPr>
        <w:pStyle w:val="TextBody"/>
        <w:spacing w:before="3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113" w:type="dxa"/>
        <w:jc w:val="left"/>
        <w:tblInd w:w="0" w:type="dxa"/>
        <w:tblCellMar>
          <w:top w:w="28" w:type="dxa"/>
          <w:left w:w="28" w:type="dxa"/>
          <w:bottom w:w="28" w:type="dxa"/>
          <w:right w:w="28" w:type="dxa"/>
        </w:tblCellMar>
      </w:tblPr>
      <w:tblGrid>
        <w:gridCol w:w="2347"/>
        <w:gridCol w:w="2058"/>
        <w:gridCol w:w="2074"/>
        <w:gridCol w:w="211"/>
        <w:gridCol w:w="796"/>
        <w:gridCol w:w="109"/>
        <w:gridCol w:w="109"/>
        <w:gridCol w:w="109"/>
        <w:gridCol w:w="109"/>
        <w:gridCol w:w="211"/>
        <w:gridCol w:w="826"/>
        <w:gridCol w:w="154"/>
      </w:tblGrid>
      <w:tr>
        <w:trPr/>
        <w:tc>
          <w:tcPr>
            <w:tcW w:w="2347"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2634" w:type="dxa"/>
            <w:gridSpan w:val="9"/>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amortization on short-term investments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year</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during the period</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included in accounts payable and accrued liabilities</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 Nature of Organization and Operations</w:t>
      </w:r>
    </w:p>
    <w:p>
      <w:pPr>
        <w:pStyle w:val="TextBody"/>
        <w:spacing w:lineRule="auto" w:line="288" w:before="120" w:after="283"/>
        <w:jc w:val="both"/>
        <w:rPr/>
      </w:pPr>
      <w:r>
        <w:rPr>
          <w:rFonts w:ascii="Times New Roman;sans-serif" w:hAnsi="Times New Roman;sans-serif"/>
          <w:b w:val="false"/>
          <w:color w:val="231F20"/>
          <w:sz w:val="20"/>
        </w:rPr>
        <w:t xml:space="preserve">Aadi Bioscience, Inc. (together with its subsidiaries, the “Company” or “Aadi”) is </w:t>
      </w:r>
      <w:r>
        <w:rPr>
          <w:rFonts w:ascii="Times New Roman;sans-serif" w:hAnsi="Times New Roman;sans-serif"/>
          <w:b w:val="false"/>
          <w:color w:val="000000"/>
          <w:sz w:val="20"/>
        </w:rPr>
        <w:t>a biopharmaceutical company focused on developing and commercializing precision therapies for genetically defined cancers with alterations in mTOR pathway genes. Aadi’s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w:t>
      </w:r>
      <w:r>
        <w:rPr>
          <w:color w:val="231F20"/>
        </w:rPr>
        <w:t>“</w:t>
      </w:r>
      <w:r>
        <w:rPr>
          <w:rFonts w:ascii="Times New Roman;sans-serif" w:hAnsi="Times New Roman;sans-serif"/>
          <w:b w:val="false"/>
          <w:color w:val="000000"/>
          <w:sz w:val="20"/>
        </w:rPr>
        <w:t>PEComa</w:t>
      </w:r>
      <w:r>
        <w:rPr>
          <w:color w:val="231F20"/>
        </w:rPr>
        <w:t>”</w:t>
      </w:r>
      <w:r>
        <w:rPr>
          <w:rFonts w:ascii="Times New Roman;sans-serif" w:hAnsi="Times New Roman;sans-serif"/>
          <w:b w:val="false"/>
          <w:color w:val="000000"/>
          <w:sz w:val="20"/>
        </w:rPr>
        <w:t xml:space="preserve">). On February 22, 2022, Aadi launched FYARRO in the United States for treatment of advanced malignant PEComa. FYARRO is licensed to Aadi by Abraxis BioScience, LLC, a wholly owned subsidiary of Celgene Corporation, which is a wholly owned subsidiary of Bristol Myers Squibb Company (“BMS”).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Liquidity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Company has experienced net losses since its inception and expects to continue to incur net losses into the foreseeable future. The Company had an accumulated deficit of $218.4 million as of March 31, 2023 and a net loss of $15.2 million and $13.9 million for the three months ended March 31, 2023 and 2022, respectively. To date, these operating losses have been funded primarily from outside sources of invested capital through the issuance of convertible promissory notes, grant funding, the sale of securities, and proceeds from license agreements. </w:t>
      </w:r>
    </w:p>
    <w:p>
      <w:pPr>
        <w:pStyle w:val="TextBody"/>
        <w:spacing w:lineRule="auto" w:line="288" w:before="120" w:after="120"/>
        <w:jc w:val="both"/>
        <w:rPr/>
      </w:pPr>
      <w:r>
        <w:rPr>
          <w:rFonts w:ascii="Times New Roman;sans-serif" w:hAnsi="Times New Roman;sans-serif"/>
          <w:b w:val="false"/>
          <w:color w:val="000000"/>
          <w:sz w:val="20"/>
        </w:rPr>
        <w:t>The Company</w:t>
      </w:r>
      <w:r>
        <w:rPr>
          <w:color w:val="231F20"/>
        </w:rPr>
        <w:t xml:space="preserve"> </w:t>
      </w:r>
      <w:r>
        <w:rPr>
          <w:rFonts w:ascii="Times New Roman;sans-serif" w:hAnsi="Times New Roman;sans-serif"/>
          <w:b w:val="false"/>
          <w:color w:val="231F20"/>
          <w:sz w:val="20"/>
        </w:rPr>
        <w:t>had cash, cash equivalents and short-term investments of $151.2 million</w:t>
      </w:r>
      <w:r>
        <w:rPr>
          <w:color w:val="000000"/>
        </w:rPr>
        <w:t xml:space="preserve"> </w:t>
      </w:r>
      <w:r>
        <w:rPr>
          <w:rFonts w:ascii="Times New Roman;sans-serif" w:hAnsi="Times New Roman;sans-serif"/>
          <w:b w:val="false"/>
          <w:color w:val="000000"/>
          <w:sz w:val="20"/>
        </w:rPr>
        <w:t xml:space="preserve">at March 31, 2023. Management believes the Company’s 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 </w:t>
      </w:r>
    </w:p>
    <w:p>
      <w:pPr>
        <w:pStyle w:val="TextBody"/>
        <w:spacing w:lineRule="auto" w:line="288" w:before="120" w:after="120"/>
        <w:jc w:val="both"/>
        <w:rPr/>
      </w:pPr>
      <w:r>
        <w:rPr>
          <w:rFonts w:ascii="Times New Roman;sans-serif" w:hAnsi="Times New Roman;sans-serif"/>
          <w:b w:val="false"/>
          <w:color w:val="000000"/>
          <w:sz w:val="20"/>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As of </w:t>
      </w:r>
      <w:r>
        <w:rPr>
          <w:rFonts w:ascii="Times New Roman;sans-serif" w:hAnsi="Times New Roman;sans-serif"/>
          <w:b w:val="false"/>
          <w:color w:val="231F20"/>
          <w:sz w:val="20"/>
        </w:rPr>
        <w:t>March 31, 2023</w:t>
      </w:r>
      <w:r>
        <w:rPr>
          <w:rFonts w:ascii="Times New Roman;sans-serif" w:hAnsi="Times New Roman;sans-serif"/>
          <w:b w:val="false"/>
          <w:color w:val="000000"/>
          <w:sz w:val="20"/>
        </w:rPr>
        <w:t xml:space="preserve">, no shares of common stock had been sold under this Sales Agreement.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and the related disclosures, have been prepared in accordance with GAAP and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 Certain prior year amounts have been reclassified to conform to the current year presentation.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annual financial statements prepared in accordance with GAAP have been condensed or omitted. Accordingly, the accompanying unaudited interim financial statements should be read in conjunction with the audited financial statements and the related notes thereto for the year ended December 31, 2022, which are included in the Company’s Annual Report on Form 10-K filed with the SEC on March 29, 2023.</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is defined as the change in equity during a period from transactions and other events and circumstances from non-owner sources, including unrealized gains and losses on short-term investments. Comprehensive loss has been reflected in the condensed consolidated statements of operations and comprehensive loss for all periods presented.</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fair value of the intangible asset, fair value of the convertible promissory notes,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Concentration of Credit Risk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primarily of cash and cash equivalents and investments in money market funds, United States government treasury bills, commercial paper, corporate bonds, and government agency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is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Customer Concentration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for the three months ended March 31, 2023 were from two customers at 51% and 48% of the Company’s revenue, respectively.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two customers accounted for 62% and 37% of net accounts receivable as of March 31, 2023.</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marketable securities purchased with original maturities of three months or less at the time of purchase date to be cash equivalents. As of March 31, 2023 and December 31, 2022, cash and cash equivalents including money market investments totaled $23.7 million and $32.0 million, respectively. Restricted cash consists of a letter of credit secured by restricted cash in connection with one of the Company's office leases described in Note 7, and is included in other assets on the condensed consolidated balance sheets.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(in thousands):</w:t>
      </w:r>
    </w:p>
    <w:tbl>
      <w:tblPr>
        <w:tblW w:w="7121" w:type="dxa"/>
        <w:jc w:val="left"/>
        <w:tblInd w:w="0" w:type="dxa"/>
        <w:tblCellMar>
          <w:top w:w="28" w:type="dxa"/>
          <w:left w:w="28" w:type="dxa"/>
          <w:bottom w:w="28" w:type="dxa"/>
          <w:right w:w="28" w:type="dxa"/>
        </w:tblCellMar>
      </w:tblPr>
      <w:tblGrid>
        <w:gridCol w:w="1445"/>
        <w:gridCol w:w="1268"/>
        <w:gridCol w:w="1276"/>
        <w:gridCol w:w="255"/>
        <w:gridCol w:w="873"/>
        <w:gridCol w:w="132"/>
        <w:gridCol w:w="109"/>
        <w:gridCol w:w="109"/>
        <w:gridCol w:w="109"/>
        <w:gridCol w:w="300"/>
        <w:gridCol w:w="1026"/>
        <w:gridCol w:w="219"/>
      </w:tblGrid>
      <w:tr>
        <w:trPr/>
        <w:tc>
          <w:tcPr>
            <w:tcW w:w="1445"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12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prices in active markets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the quoted prices in active markets that are observable either directly or indirectly</w:t>
      </w:r>
    </w:p>
    <w:p>
      <w:pPr>
        <w:pStyle w:val="TextBody"/>
        <w:spacing w:lineRule="auto" w:line="288" w:before="12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prepaid expenses and other current assets, and accounts payable are reasonable estimates of their fair value because of the short maturity of these items.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Short-Term Investments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have been no allowance for expected credit losses recorded during any of the periods presented. See Note 4 for further information.</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Accounts Receivable, Net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terms of the customer contracts. As of March 31, 2023 and December 31, 2022, recorded customer allowances for charge backs were $0.8 million and $0.1 million, respectively. There were no allowances for credit losses and no receivables were written off for the periods ended March 31, 2023 and December 31, 2022, respectively.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inventory are presented as follows (in thousands):</w:t>
      </w:r>
    </w:p>
    <w:tbl>
      <w:tblPr>
        <w:tblW w:w="4555" w:type="dxa"/>
        <w:jc w:val="left"/>
        <w:tblInd w:w="0" w:type="dxa"/>
        <w:tblCellMar>
          <w:top w:w="28" w:type="dxa"/>
          <w:left w:w="28" w:type="dxa"/>
          <w:bottom w:w="28" w:type="dxa"/>
          <w:right w:w="28" w:type="dxa"/>
        </w:tblCellMar>
      </w:tblPr>
      <w:tblGrid>
        <w:gridCol w:w="516"/>
        <w:gridCol w:w="453"/>
        <w:gridCol w:w="456"/>
        <w:gridCol w:w="284"/>
        <w:gridCol w:w="829"/>
        <w:gridCol w:w="146"/>
        <w:gridCol w:w="109"/>
        <w:gridCol w:w="109"/>
        <w:gridCol w:w="109"/>
        <w:gridCol w:w="332"/>
        <w:gridCol w:w="970"/>
        <w:gridCol w:w="242"/>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84"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1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1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consisting of computers, furniture and fixtures, office equipment, construction in process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property and equipment are presented as follows (in thousands): </w:t>
      </w:r>
    </w:p>
    <w:tbl>
      <w:tblPr>
        <w:tblW w:w="5546" w:type="dxa"/>
        <w:jc w:val="left"/>
        <w:tblInd w:w="0" w:type="dxa"/>
        <w:tblCellMar>
          <w:top w:w="28" w:type="dxa"/>
          <w:left w:w="28" w:type="dxa"/>
          <w:bottom w:w="28" w:type="dxa"/>
          <w:right w:w="28" w:type="dxa"/>
        </w:tblCellMar>
      </w:tblPr>
      <w:tblGrid>
        <w:gridCol w:w="875"/>
        <w:gridCol w:w="768"/>
        <w:gridCol w:w="772"/>
        <w:gridCol w:w="284"/>
        <w:gridCol w:w="829"/>
        <w:gridCol w:w="146"/>
        <w:gridCol w:w="109"/>
        <w:gridCol w:w="109"/>
        <w:gridCol w:w="109"/>
        <w:gridCol w:w="392"/>
        <w:gridCol w:w="866"/>
        <w:gridCol w:w="287"/>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284"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87"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adjustments to the right-of-use asset may be required for items such as initial direct costs paid or incentives received. As the Company’s leases do not typically provide an implicit rate, the Company utilizes the appropriate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000000"/>
          <w:sz w:val="20"/>
        </w:rPr>
        <w:t xml:space="preserve">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sans-serif" w:hAnsi="Times New Roman;sans-serif"/>
          <w:b w:val="false"/>
          <w:color w:val="231F20"/>
          <w:sz w:val="20"/>
        </w:rPr>
        <w:t>condensed consolidated statements of operations and comprehensive loss</w:t>
      </w:r>
      <w:r>
        <w:rPr>
          <w:rFonts w:ascii="Times New Roman;sans-serif" w:hAnsi="Times New Roman;sans-serif"/>
          <w:b w:val="false"/>
          <w:color w:val="000000"/>
          <w:sz w:val="20"/>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pStyle w:val="TextBody"/>
        <w:spacing w:lineRule="auto" w:line="288" w:before="120" w:after="120"/>
        <w:rPr>
          <w:rFonts w:ascii="Times New Roman;sans-serif" w:hAnsi="Times New Roman;sans-serif"/>
          <w:b/>
          <w:i/>
          <w:color w:val="231F20"/>
          <w:sz w:val="20"/>
        </w:rPr>
      </w:pPr>
      <w:r>
        <w:rPr>
          <w:rFonts w:ascii="Times New Roman;sans-serif" w:hAnsi="Times New Roman;sans-serif"/>
          <w:b/>
          <w:i/>
          <w:color w:val="231F20"/>
          <w:sz w:val="20"/>
        </w:rPr>
        <w:t>Commitments and Contingencies</w:t>
      </w:r>
    </w:p>
    <w:p>
      <w:pPr>
        <w:pStyle w:val="TextBody"/>
        <w:spacing w:lineRule="auto" w:line="288" w:before="120" w:after="120"/>
        <w:jc w:val="both"/>
        <w:rPr/>
      </w:pPr>
      <w:r>
        <w:rPr>
          <w:rFonts w:ascii="Times New Roman;sans-serif" w:hAnsi="Times New Roman;sans-serif"/>
          <w:b w:val="false"/>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March 31, 2023 and December 31, 2022</w:t>
      </w:r>
      <w:r>
        <w:rPr>
          <w:rFonts w:ascii="Times New Roman;sans-serif" w:hAnsi="Times New Roman;sans-serif"/>
          <w:b w:val="false"/>
          <w:color w:val="231F20"/>
          <w:sz w:val="20"/>
        </w:rPr>
        <w:t>.</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 and Related Allowances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Net Sales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spacing w:lineRule="auto" w:line="288" w:before="120" w:after="120"/>
        <w:jc w:val="both"/>
        <w:rPr/>
      </w:pP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spacing w:lineRule="auto" w:line="288" w:before="120" w:after="120"/>
        <w:jc w:val="both"/>
        <w:rPr/>
      </w:pP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includes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spacing w:lineRule="auto" w:line="288" w:before="120" w:after="120"/>
        <w:jc w:val="both"/>
        <w:rPr/>
      </w:pP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 </w:t>
      </w:r>
    </w:p>
    <w:p>
      <w:pPr>
        <w:pStyle w:val="TextBody"/>
        <w:spacing w:lineRule="auto" w:line="288" w:before="120" w:after="120"/>
        <w:jc w:val="both"/>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 xml:space="preserve">The Company offers co-payment assistance to commercially insured patients meeting certain eligibility requirement. Co-payment assistance is accrued at the time of product sale to SDs and SP based on estimated patient participation and average co-pay benefit to be paid per a claim. The Company estimated amounts are compared to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spacing w:lineRule="auto" w:line="288" w:before="120" w:after="120"/>
        <w:jc w:val="both"/>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deducted from gross product sales for the allowances described above for the three months ended March 31, 2023, and 2022, was $1.0 million and $0.4 million, respectively.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accrued revenue allowances (in thousands):</w:t>
      </w:r>
    </w:p>
    <w:tbl>
      <w:tblPr>
        <w:tblW w:w="10205" w:type="dxa"/>
        <w:jc w:val="left"/>
        <w:tblInd w:w="0" w:type="dxa"/>
        <w:tblCellMar>
          <w:top w:w="28" w:type="dxa"/>
          <w:left w:w="28" w:type="dxa"/>
          <w:bottom w:w="28" w:type="dxa"/>
          <w:right w:w="28" w:type="dxa"/>
        </w:tblCellMar>
      </w:tblPr>
      <w:tblGrid>
        <w:gridCol w:w="954"/>
        <w:gridCol w:w="839"/>
        <w:gridCol w:w="842"/>
        <w:gridCol w:w="109"/>
        <w:gridCol w:w="109"/>
        <w:gridCol w:w="109"/>
        <w:gridCol w:w="393"/>
        <w:gridCol w:w="1148"/>
        <w:gridCol w:w="202"/>
        <w:gridCol w:w="109"/>
        <w:gridCol w:w="109"/>
        <w:gridCol w:w="109"/>
        <w:gridCol w:w="447"/>
        <w:gridCol w:w="1308"/>
        <w:gridCol w:w="231"/>
        <w:gridCol w:w="109"/>
        <w:gridCol w:w="109"/>
        <w:gridCol w:w="109"/>
        <w:gridCol w:w="211"/>
        <w:gridCol w:w="522"/>
        <w:gridCol w:w="109"/>
        <w:gridCol w:w="109"/>
        <w:gridCol w:w="109"/>
        <w:gridCol w:w="109"/>
        <w:gridCol w:w="362"/>
        <w:gridCol w:w="1059"/>
        <w:gridCol w:w="270"/>
      </w:tblGrid>
      <w:tr>
        <w:trPr/>
        <w:tc>
          <w:tcPr>
            <w:tcW w:w="95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Beginning of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Provision for Current Period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2023</w:t>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81"/>
        <w:gridCol w:w="862"/>
        <w:gridCol w:w="866"/>
        <w:gridCol w:w="109"/>
        <w:gridCol w:w="109"/>
        <w:gridCol w:w="109"/>
        <w:gridCol w:w="504"/>
        <w:gridCol w:w="969"/>
        <w:gridCol w:w="262"/>
        <w:gridCol w:w="109"/>
        <w:gridCol w:w="109"/>
        <w:gridCol w:w="109"/>
        <w:gridCol w:w="529"/>
        <w:gridCol w:w="1170"/>
        <w:gridCol w:w="278"/>
        <w:gridCol w:w="109"/>
        <w:gridCol w:w="109"/>
        <w:gridCol w:w="109"/>
        <w:gridCol w:w="235"/>
        <w:gridCol w:w="453"/>
        <w:gridCol w:w="123"/>
        <w:gridCol w:w="109"/>
        <w:gridCol w:w="109"/>
        <w:gridCol w:w="109"/>
        <w:gridCol w:w="421"/>
        <w:gridCol w:w="931"/>
        <w:gridCol w:w="313"/>
      </w:tblGrid>
      <w:tr>
        <w:trPr/>
        <w:tc>
          <w:tcPr>
            <w:tcW w:w="981"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2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Beginning of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Provision for Current Period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2022</w:t>
            </w:r>
          </w:p>
        </w:tc>
      </w:tr>
      <w:tr>
        <w:trPr/>
        <w:tc>
          <w:tcPr>
            <w:tcW w:w="2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Under License Agreement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 (i) 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revenue from such license agreement, the Company generally collects an upfront license payment from the license partner and is also entitled to receive event-based payments subject to the license partner’s achievement of specified development, regulatory and sales-based milestones. In addition, the Company is generally entitled to royalties if products under the license agreement are commercialized.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price for a contract represents the amount to which the Company is entitled in exchange for providing goods and services to the partner. Transaction price does not include amounts subject to uncertainties unless it is 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 prior to its actual occurrence, based on the progress towards commencement of the trial. The Company does not include any amounts subject to uncertainties in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such agreements generally only have one type of performance obligation, a license, which is generally all transferred at the same time as agreement inception, allocation of the transaction price among multiple performance obligations is not required. Upfront amounts allocated to licenses are recognized as revenue when the licenses are transferred to the partners. Development milestones and other fees are recognized in revenue when their occurrence becomes probable.</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spacing w:lineRule="auto" w:line="288" w:before="120" w:after="120"/>
        <w:jc w:val="both"/>
        <w:rPr/>
      </w:pPr>
      <w:r>
        <w:rPr>
          <w:rFonts w:ascii="Times New Roman;sans-serif" w:hAnsi="Times New Roman;sans-serif"/>
          <w:b w:val="false"/>
          <w:color w:val="000000"/>
          <w:sz w:val="20"/>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w:t>
      </w:r>
      <w:r>
        <w:rPr>
          <w:color w:val="231F20"/>
        </w:rPr>
        <w:t xml:space="preserve"> </w:t>
      </w:r>
      <w:r>
        <w:rPr>
          <w:rFonts w:ascii="Times New Roman;sans-serif" w:hAnsi="Times New Roman;sans-serif"/>
          <w:b w:val="false"/>
          <w:color w:val="000000"/>
          <w:sz w:val="20"/>
        </w:rPr>
        <w:t>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spacing w:lineRule="auto" w:line="288" w:before="120" w:after="120"/>
        <w:jc w:val="both"/>
        <w:rPr/>
      </w:pPr>
      <w:r>
        <w:rPr>
          <w:rFonts w:ascii="Times New Roman;sans-serif" w:hAnsi="Times New Roman;sans-serif"/>
          <w:b w:val="false"/>
          <w:color w:val="000000"/>
          <w:sz w:val="20"/>
        </w:rPr>
        <w:t xml:space="preserve">The Company recognizes all share-based payments to employees, including grants of employee stock options in the condensed consolidated statements of operations and comprehensive loss based on their fair values. All of the Company’s share-based awards, to employees, non-employees, officers, and directors, are subject only to service-based vesting conditions. The Company estimates the fair value of its share-based awards using the Black-Scholes option pricing model, which requires the input of assumptions, including (i) the expected stock price volatility, (ii) the calculation of expected term of the award, (iii) the risk-free interest rate and (iv) expected dividends. </w:t>
      </w:r>
      <w:r>
        <w:rPr>
          <w:rFonts w:ascii="Times New Roman;sans-serif" w:hAnsi="Times New Roman;sans-serif"/>
          <w:b w:val="false"/>
          <w:color w:val="231F20"/>
          <w:sz w:val="20"/>
        </w:rPr>
        <w:t>Options granted during the year have a maximum contractual term of ten years. Forfeitures are recognized and accounted for as they occur.</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 </w:t>
      </w:r>
    </w:p>
    <w:p>
      <w:pPr>
        <w:pStyle w:val="TextBody"/>
        <w:spacing w:lineRule="auto" w:line="288" w:before="120" w:after="120"/>
        <w:jc w:val="both"/>
        <w:rPr/>
      </w:pPr>
      <w:r>
        <w:rPr>
          <w:rFonts w:ascii="Times New Roman;sans-serif" w:hAnsi="Times New Roman;sans-serif"/>
          <w:b w:val="false"/>
          <w:color w:val="231F20"/>
          <w:sz w:val="20"/>
        </w:rPr>
        <w:t>The Company has limited historical stock option activity and therefore estimates</w:t>
      </w:r>
      <w:r>
        <w:rPr>
          <w:color w:val="231F20"/>
        </w:rPr>
        <w:t xml:space="preserve"> </w:t>
      </w:r>
      <w:r>
        <w:rPr>
          <w:rFonts w:ascii="Times New Roman;sans-serif" w:hAnsi="Times New Roman;sans-serif"/>
          <w:b w:val="false"/>
          <w:color w:val="231F20"/>
          <w:sz w:val="20"/>
        </w:rPr>
        <w:t>the expected term of stock options granted to employees, officers, and directors using the simplified method, which represents the average of the contractual term of the stock option and its weighted-average vesting period,</w:t>
      </w:r>
      <w:r>
        <w:rPr>
          <w:color w:val="000000"/>
        </w:rPr>
        <w:t xml:space="preserve"> </w:t>
      </w:r>
      <w:r>
        <w:rPr>
          <w:rFonts w:ascii="Times New Roman;sans-serif" w:hAnsi="Times New Roman;sans-serif"/>
          <w:b w:val="false"/>
          <w:color w:val="000000"/>
          <w:sz w:val="20"/>
        </w:rPr>
        <w:t>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employee stock purchases under the Company’s 2021 Employee Stock Purchase Plan (the “2021 ESPP”) is recorded at the estimated fair value of the purchase as of the plan enrollment date and is recognized as expense on a straight-line basis over the applicable six-month ESPP offering period.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Attributable to Common Stockholders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the net loss attributable to common stockholders by the weighted-average number of common shares outstanding for the period. Basic and diluted weighted average shares of common stock outstanding for the three months ended March 31, 2023, includes the weighted average effect of 2,426,493 Pre-Funded Warrants (as defined below), which were issued in September 2022, for the purchase of shares of common stock, for which the remaining unfunded exercise price is $0.0001 per share.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and warrants have been excluded from the computation of diluted net loss per share as they would be anti-dilutive.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potentially dilutive securities that have been excluded in the calculation of diluted net loss per share because their inclusion would be anti-dilutive (in thousands):</w:t>
      </w:r>
    </w:p>
    <w:tbl>
      <w:tblPr>
        <w:tblW w:w="5819" w:type="dxa"/>
        <w:jc w:val="left"/>
        <w:tblInd w:w="0" w:type="dxa"/>
        <w:tblCellMar>
          <w:top w:w="28" w:type="dxa"/>
          <w:left w:w="28" w:type="dxa"/>
          <w:bottom w:w="28" w:type="dxa"/>
          <w:right w:w="28" w:type="dxa"/>
        </w:tblCellMar>
      </w:tblPr>
      <w:tblGrid>
        <w:gridCol w:w="1100"/>
        <w:gridCol w:w="970"/>
        <w:gridCol w:w="974"/>
        <w:gridCol w:w="427"/>
        <w:gridCol w:w="259"/>
        <w:gridCol w:w="259"/>
        <w:gridCol w:w="259"/>
        <w:gridCol w:w="259"/>
        <w:gridCol w:w="259"/>
        <w:gridCol w:w="427"/>
        <w:gridCol w:w="259"/>
        <w:gridCol w:w="367"/>
      </w:tblGrid>
      <w:tr>
        <w:trPr/>
        <w:tc>
          <w:tcPr>
            <w:tcW w:w="110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86"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367"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6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120" w:after="120"/>
        <w:jc w:val="both"/>
        <w:rPr/>
      </w:pPr>
      <w:r>
        <w:rPr>
          <w:rFonts w:ascii="Times New Roman;sans-serif" w:hAnsi="Times New Roman;sans-serif"/>
          <w:b w:val="false"/>
          <w:color w:val="000000"/>
          <w:sz w:val="20"/>
        </w:rPr>
        <w:t>In August 2020, the FASB issued ASU 2020-06, “</w:t>
      </w:r>
      <w:r>
        <w:rPr>
          <w:rFonts w:ascii="Times New Roman;sans-serif" w:hAnsi="Times New Roman;sans-serif"/>
          <w:b w:val="false"/>
          <w:i/>
          <w:color w:val="000000"/>
          <w:sz w:val="20"/>
        </w:rPr>
        <w:t>Debt – Debt with Conversion and Other Options”</w:t>
      </w:r>
      <w:r>
        <w:rPr>
          <w:color w:val="000000"/>
        </w:rPr>
        <w:t xml:space="preserve"> </w:t>
      </w:r>
      <w:r>
        <w:rPr>
          <w:rFonts w:ascii="Times New Roman;sans-serif" w:hAnsi="Times New Roman;sans-serif"/>
          <w:b w:val="false"/>
          <w:color w:val="000000"/>
          <w:sz w:val="20"/>
        </w:rPr>
        <w:t xml:space="preserve">(Subtopic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consolidated financial statements. </w:t>
      </w:r>
    </w:p>
    <w:p>
      <w:pPr>
        <w:pStyle w:val="TextBody"/>
        <w:spacing w:lineRule="auto" w:line="288" w:before="0" w:after="0"/>
        <w:jc w:val="both"/>
        <w:rPr/>
      </w:pPr>
      <w:r>
        <w:rPr>
          <w:rFonts w:ascii="Times New Roman;sans-serif" w:hAnsi="Times New Roman;sans-serif"/>
          <w:b w:val="false"/>
          <w:color w:val="000000"/>
          <w:sz w:val="20"/>
        </w:rPr>
        <w:t>In 2016, the FASB issued ASU 2016-13 “</w:t>
      </w:r>
      <w:r>
        <w:rPr>
          <w:rFonts w:ascii="Times New Roman;sans-serif" w:hAnsi="Times New Roman;sans-serif"/>
          <w:b w:val="false"/>
          <w:i/>
          <w:color w:val="000000"/>
          <w:sz w:val="20"/>
        </w:rPr>
        <w:t xml:space="preserve">Financial Instruments - Credit Losses” </w:t>
      </w:r>
      <w:r>
        <w:rPr>
          <w:rFonts w:ascii="Times New Roman;sans-serif" w:hAnsi="Times New Roman;sans-serif"/>
          <w:b w:val="false"/>
          <w:color w:val="000000"/>
          <w:sz w:val="20"/>
        </w:rPr>
        <w:t>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The Company adopted ASU 2016-13 beginning in January 2023. The Company determined that the adoption of this standard did not result in a material impact to the condensed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231F20"/>
          <w:sz w:val="20"/>
        </w:rPr>
      </w:pPr>
      <w:r>
        <w:rPr>
          <w:rFonts w:ascii="Times New Roman;sans-serif" w:hAnsi="Times New Roman;sans-serif"/>
          <w:b/>
          <w:color w:val="231F20"/>
          <w:sz w:val="20"/>
        </w:rPr>
        <w:t>3. Fair Value Measurement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recurring fair value of the Company’s financial assets and liabilities, allocated into the Level 1, Level 2 and Level 3 hierarchy that were measured at fair value on a recurring basis (in thousands):</w:t>
      </w:r>
    </w:p>
    <w:tbl>
      <w:tblPr>
        <w:tblW w:w="7545" w:type="dxa"/>
        <w:jc w:val="left"/>
        <w:tblInd w:w="0" w:type="dxa"/>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March 31, 2023</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tbl>
      <w:tblPr>
        <w:tblW w:w="7650" w:type="dxa"/>
        <w:jc w:val="left"/>
        <w:tblInd w:w="0" w:type="dxa"/>
        <w:tblCellMar>
          <w:top w:w="28" w:type="dxa"/>
          <w:left w:w="28" w:type="dxa"/>
          <w:bottom w:w="28" w:type="dxa"/>
          <w:right w:w="28" w:type="dxa"/>
        </w:tblCellMar>
      </w:tblPr>
      <w:tblGrid>
        <w:gridCol w:w="927"/>
        <w:gridCol w:w="814"/>
        <w:gridCol w:w="824"/>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2022</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in the accompanying condensed consolidated balance sheets.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net unrealized loss on investments was $32,000. All marketable securities had a contractual maturity of less than one year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231F20"/>
          <w:sz w:val="20"/>
        </w:rPr>
      </w:pPr>
      <w:r>
        <w:rPr>
          <w:rFonts w:ascii="Times New Roman;sans-serif" w:hAnsi="Times New Roman;sans-serif"/>
          <w:b/>
          <w:color w:val="231F20"/>
          <w:sz w:val="20"/>
        </w:rPr>
        <w:t>4. Short-Term Investments and Cash Equivalents</w:t>
      </w:r>
    </w:p>
    <w:p>
      <w:pPr>
        <w:pStyle w:val="TextBody"/>
        <w:spacing w:lineRule="auto" w:line="288" w:before="120" w:after="283"/>
        <w:rPr/>
      </w:pPr>
      <w:r>
        <w:rPr>
          <w:rFonts w:ascii="Times New Roman;sans-serif" w:hAnsi="Times New Roman;sans-serif"/>
          <w:b w:val="false"/>
          <w:color w:val="000000"/>
          <w:sz w:val="20"/>
        </w:rPr>
        <w:t>The following table summarizes the Company's short-term investments (in thousands):</w:t>
      </w:r>
      <w:r>
        <w:rPr>
          <w:color w:val="000000"/>
        </w:rPr>
        <w:t xml:space="preserve"> </w:t>
      </w:r>
    </w:p>
    <w:tbl>
      <w:tblPr>
        <w:tblW w:w="10205" w:type="dxa"/>
        <w:jc w:val="left"/>
        <w:tblInd w:w="0" w:type="dxa"/>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83"/>
        <w:gridCol w:w="739"/>
        <w:gridCol w:w="199"/>
        <w:gridCol w:w="109"/>
        <w:gridCol w:w="109"/>
        <w:gridCol w:w="109"/>
        <w:gridCol w:w="211"/>
        <w:gridCol w:w="826"/>
        <w:gridCol w:w="162"/>
      </w:tblGrid>
      <w:tr>
        <w:trPr/>
        <w:tc>
          <w:tcPr>
            <w:tcW w:w="89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44"/>
        <w:gridCol w:w="799"/>
        <w:gridCol w:w="178"/>
        <w:gridCol w:w="109"/>
        <w:gridCol w:w="109"/>
        <w:gridCol w:w="109"/>
        <w:gridCol w:w="211"/>
        <w:gridCol w:w="826"/>
        <w:gridCol w:w="162"/>
      </w:tblGrid>
      <w:tr>
        <w:trPr/>
        <w:tc>
          <w:tcPr>
            <w:tcW w:w="89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231F20"/>
          <w:sz w:val="20"/>
        </w:rPr>
      </w:pPr>
      <w:r>
        <w:rPr>
          <w:rFonts w:ascii="Times New Roman;sans-serif" w:hAnsi="Times New Roman;sans-serif"/>
          <w:b/>
          <w:color w:val="231F20"/>
          <w:sz w:val="20"/>
        </w:rPr>
        <w:t>5. Intangible Asset</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the Company closed its reverse merger pursuant to which the Company’s wholly-owned subsidiary merged with and into Aadi Subsidiary, Inc. (formerly Aadi Bioscience, Inc.) (“Private Aadi”), with Private Aadi surviving as a wholly owned subsidiary of the Company (the “Merger”). The Company recorded a long-lived contract intangible asset as a result of the Merger, related to the license agreement, dated June 24, 2018, with Gossamer Bio, Inc. (“Gossamer”), as amended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of the Merger, the Company recognized an impairment of $74.2 million to bring the carrying amount of the contract intangible asset down to its estimated fair value of $3.9 million. The fair value estimate of the intangible asset relates to contingent cash flows expected from the out-licensing arrangement, of which 90% of any future net cash proceeds will be remitted to each holder of common stock of the Company’s predecessor, Aerpio, as of immediately prior to the closing of the Merger and paid through the contingent value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rights (“CVRs”) pursuant to a Contingent Value Rights Agreement, dated as of August 26, 2021 (the “CVR Agreement”). The useful life of the intangible asset was estimated to be approximately 14.3 years.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2022, the Company received a formal notice of termination from Gossamer for the Gossamer License Agreement, relating to Gossamer’s GB004 product candidate, a legacy product candidate of the Company's predecessor,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 on the termination of the Gossamer License Agreement, the Company fully impaired the intangible asset, $3.7 million, of which the Gossamer License Agreement is the underlying asset, during the year ended December 31, 2022.</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amortization expense for the three months ended March 31, 2023. Amortization expense was $0.1 million for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6. Accrued Liabilities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Details of accrued liabilities are presented as follows (in thousands):</w:t>
      </w:r>
    </w:p>
    <w:tbl>
      <w:tblPr>
        <w:tblW w:w="5237" w:type="dxa"/>
        <w:jc w:val="left"/>
        <w:tblInd w:w="0" w:type="dxa"/>
        <w:tblCellMar>
          <w:top w:w="28" w:type="dxa"/>
          <w:left w:w="28" w:type="dxa"/>
          <w:bottom w:w="28" w:type="dxa"/>
          <w:right w:w="28" w:type="dxa"/>
        </w:tblCellMar>
      </w:tblPr>
      <w:tblGrid>
        <w:gridCol w:w="987"/>
        <w:gridCol w:w="870"/>
        <w:gridCol w:w="873"/>
        <w:gridCol w:w="211"/>
        <w:gridCol w:w="721"/>
        <w:gridCol w:w="109"/>
        <w:gridCol w:w="109"/>
        <w:gridCol w:w="109"/>
        <w:gridCol w:w="109"/>
        <w:gridCol w:w="221"/>
        <w:gridCol w:w="757"/>
        <w:gridCol w:w="161"/>
      </w:tblGrid>
      <w:tr>
        <w:trPr/>
        <w:tc>
          <w:tcPr>
            <w:tcW w:w="98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payroll</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manufacturing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customer payments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 sales related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7. Operating Lease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the Company’s lease (in thousands):</w:t>
      </w:r>
    </w:p>
    <w:tbl>
      <w:tblPr>
        <w:tblW w:w="6369" w:type="dxa"/>
        <w:jc w:val="left"/>
        <w:tblInd w:w="0" w:type="dxa"/>
        <w:tblCellMar>
          <w:top w:w="28" w:type="dxa"/>
          <w:left w:w="28" w:type="dxa"/>
          <w:bottom w:w="28" w:type="dxa"/>
          <w:right w:w="28" w:type="dxa"/>
        </w:tblCellMar>
      </w:tblPr>
      <w:tblGrid>
        <w:gridCol w:w="1170"/>
        <w:gridCol w:w="1030"/>
        <w:gridCol w:w="1039"/>
        <w:gridCol w:w="284"/>
        <w:gridCol w:w="829"/>
        <w:gridCol w:w="146"/>
        <w:gridCol w:w="109"/>
        <w:gridCol w:w="109"/>
        <w:gridCol w:w="109"/>
        <w:gridCol w:w="332"/>
        <w:gridCol w:w="970"/>
        <w:gridCol w:w="242"/>
      </w:tblGrid>
      <w:tr>
        <w:trPr/>
        <w:tc>
          <w:tcPr>
            <w:tcW w:w="117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8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84"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11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20"/>
        <w:jc w:val="both"/>
        <w:rPr/>
      </w:pPr>
      <w:r>
        <w:rPr>
          <w:rFonts w:ascii="Times New Roman;sans-serif" w:hAnsi="Times New Roman;sans-serif"/>
          <w:b w:val="false"/>
          <w:color w:val="231F20"/>
          <w:sz w:val="20"/>
        </w:rPr>
        <w:t xml:space="preserve">Rent expense </w:t>
      </w:r>
      <w:r>
        <w:rPr>
          <w:rFonts w:ascii="Times New Roman;sans-serif" w:hAnsi="Times New Roman;sans-serif"/>
          <w:b w:val="false"/>
          <w:color w:val="000000"/>
          <w:sz w:val="20"/>
        </w:rPr>
        <w:t>for the three months ended March 31, 2023 and 2022 is presented on the following table (in thousands):</w:t>
      </w:r>
    </w:p>
    <w:tbl>
      <w:tblPr>
        <w:tblW w:w="5395" w:type="dxa"/>
        <w:jc w:val="left"/>
        <w:tblInd w:w="0" w:type="dxa"/>
        <w:tblCellMar>
          <w:top w:w="28" w:type="dxa"/>
          <w:left w:w="28" w:type="dxa"/>
          <w:bottom w:w="28" w:type="dxa"/>
          <w:right w:w="28" w:type="dxa"/>
        </w:tblCellMar>
      </w:tblPr>
      <w:tblGrid>
        <w:gridCol w:w="912"/>
        <w:gridCol w:w="801"/>
        <w:gridCol w:w="806"/>
        <w:gridCol w:w="282"/>
        <w:gridCol w:w="623"/>
        <w:gridCol w:w="145"/>
        <w:gridCol w:w="145"/>
        <w:gridCol w:w="145"/>
        <w:gridCol w:w="145"/>
        <w:gridCol w:w="282"/>
        <w:gridCol w:w="483"/>
        <w:gridCol w:w="145"/>
        <w:gridCol w:w="109"/>
        <w:gridCol w:w="109"/>
        <w:gridCol w:w="109"/>
        <w:gridCol w:w="154"/>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rent expense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20"/>
        <w:jc w:val="both"/>
        <w:rPr/>
      </w:pPr>
      <w:r>
        <w:rPr>
          <w:rFonts w:ascii="Times New Roman;sans-serif" w:hAnsi="Times New Roman;sans-serif"/>
          <w:b w:val="false"/>
          <w:color w:val="000000"/>
          <w:sz w:val="20"/>
        </w:rPr>
        <w:t xml:space="preserve">Cash paid for leases and included in operating cash flows for the </w:t>
      </w:r>
      <w:r>
        <w:rPr>
          <w:rFonts w:ascii="Times New Roman;sans-serif" w:hAnsi="Times New Roman;sans-serif"/>
          <w:b w:val="false"/>
          <w:color w:val="231F20"/>
          <w:sz w:val="20"/>
        </w:rPr>
        <w:t>three months ended</w:t>
      </w:r>
      <w:r>
        <w:rPr>
          <w:color w:val="000000"/>
        </w:rPr>
        <w:t xml:space="preserve"> </w:t>
      </w:r>
      <w:r>
        <w:rPr>
          <w:rFonts w:ascii="Times New Roman;sans-serif" w:hAnsi="Times New Roman;sans-serif"/>
          <w:b w:val="false"/>
          <w:color w:val="000000"/>
          <w:sz w:val="20"/>
        </w:rPr>
        <w:t>March 31, 2023 and 2022 is presented on the following table (in thousands):</w:t>
      </w:r>
    </w:p>
    <w:tbl>
      <w:tblPr>
        <w:tblW w:w="6490" w:type="dxa"/>
        <w:jc w:val="left"/>
        <w:tblInd w:w="0" w:type="dxa"/>
        <w:tblCellMar>
          <w:top w:w="28" w:type="dxa"/>
          <w:left w:w="28" w:type="dxa"/>
          <w:bottom w:w="28" w:type="dxa"/>
          <w:right w:w="28" w:type="dxa"/>
        </w:tblCellMar>
      </w:tblPr>
      <w:tblGrid>
        <w:gridCol w:w="1308"/>
        <w:gridCol w:w="1151"/>
        <w:gridCol w:w="1155"/>
        <w:gridCol w:w="282"/>
        <w:gridCol w:w="623"/>
        <w:gridCol w:w="145"/>
        <w:gridCol w:w="145"/>
        <w:gridCol w:w="145"/>
        <w:gridCol w:w="145"/>
        <w:gridCol w:w="282"/>
        <w:gridCol w:w="483"/>
        <w:gridCol w:w="145"/>
        <w:gridCol w:w="109"/>
        <w:gridCol w:w="109"/>
        <w:gridCol w:w="109"/>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included in operating cash flows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20"/>
        <w:rPr>
          <w:rFonts w:ascii="Times New Roman;sans-serif" w:hAnsi="Times New Roman;sans-serif"/>
          <w:b w:val="false"/>
          <w:color w:val="000000"/>
          <w:sz w:val="20"/>
        </w:rPr>
      </w:pPr>
      <w:r>
        <w:rPr>
          <w:rFonts w:ascii="Times New Roman;sans-serif" w:hAnsi="Times New Roman;sans-serif"/>
          <w:b w:val="false"/>
          <w:color w:val="000000"/>
          <w:sz w:val="20"/>
        </w:rPr>
        <w:t>The future minimum lease payments required under the operating lease as of March 31, 2023, are summarized below (in thousands):</w:t>
      </w:r>
    </w:p>
    <w:tbl>
      <w:tblPr>
        <w:tblW w:w="4652" w:type="dxa"/>
        <w:jc w:val="left"/>
        <w:tblInd w:w="0" w:type="dxa"/>
        <w:tblCellMar>
          <w:top w:w="28" w:type="dxa"/>
          <w:left w:w="28" w:type="dxa"/>
          <w:bottom w:w="28" w:type="dxa"/>
          <w:right w:w="28" w:type="dxa"/>
        </w:tblCellMar>
      </w:tblPr>
      <w:tblGrid>
        <w:gridCol w:w="1271"/>
        <w:gridCol w:w="1117"/>
        <w:gridCol w:w="1121"/>
        <w:gridCol w:w="211"/>
        <w:gridCol w:w="616"/>
        <w:gridCol w:w="316"/>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Future Minimum Lease Payments:</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(in years)</w:t>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borrowing rate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3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pPr>
      <w:r>
        <w:rPr>
          <w:rFonts w:ascii="Times New Roman;sans-serif" w:hAnsi="Times New Roman;sans-serif"/>
          <w:b/>
          <w:color w:val="231F20"/>
          <w:sz w:val="20"/>
        </w:rPr>
        <w:t>8. L</w:t>
      </w:r>
      <w:r>
        <w:rPr>
          <w:rFonts w:ascii="Times New Roman;sans-serif" w:hAnsi="Times New Roman;sans-serif"/>
          <w:b/>
          <w:color w:val="000000"/>
          <w:sz w:val="20"/>
        </w:rPr>
        <w:t>icense Agreements</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Bristol Myers Squibb Company License Agreement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2014, the Company entered into a license agreement (as amended the “BMS License Agreement”) with BMS for exclusive rights for certain patents and a non-exclusive license for certain technology and know-how pertaining to FYARRO.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BMS License Agreement will remain in effect from the effective date of April 9, 2014 until expiration of all milestone and royalty payment obligations under the agreement, unless terminated by either of the parties upon giving an advance notice as specified in the BMS License Agreement. Under the terms of the BMS License Agreement, BMS agreed to supply the Company with licensed products of FYARRO necessary for clinical or non-clinical development.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BMS License Agreement, BMS is entitled to receive certain development milestone payments, royalties on net sales from licensed products under the agreement and any sublicense fees. During the three months ended March 31, 2023 and 2022, royalties on net product sales were $0.4 million and $0.2 million, respectively. No payments related to milestones were paid during the three months ended March 31, 2023 or 2022.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 investment in public equity financing (the “2021 PIPE Financing”). Pursuant to the terms of the Amendment, the remaining previously outstanding payment obligation of $5.8 million, is due on the third anniversary of the effective time of the 2021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PIPE Financing, or August 26, 2024 plus any accrued and unpaid interest due thereon (the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EOC License Agreement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the EOC License Agreement and concluded that EOC is a customer and identified the license of ABI-009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9. Stockholders’ Equity (Deficit)</w:t>
      </w:r>
    </w:p>
    <w:p>
      <w:pPr>
        <w:pStyle w:val="TextBody"/>
        <w:spacing w:lineRule="auto" w:line="288" w:before="120" w:after="120"/>
        <w:rPr>
          <w:rFonts w:ascii="Times New Roman;sans-serif" w:hAnsi="Times New Roman;sans-serif"/>
          <w:b/>
          <w:i/>
          <w:color w:val="231F20"/>
          <w:sz w:val="20"/>
        </w:rPr>
      </w:pPr>
      <w:r>
        <w:rPr>
          <w:rFonts w:ascii="Times New Roman;sans-serif" w:hAnsi="Times New Roman;sans-serif"/>
          <w:b/>
          <w:i/>
          <w:color w:val="231F20"/>
          <w:sz w:val="20"/>
        </w:rPr>
        <w:t>Preferred Stock</w:t>
      </w:r>
    </w:p>
    <w:p>
      <w:pPr>
        <w:pStyle w:val="TextBody"/>
        <w:spacing w:lineRule="auto" w:line="288" w:before="120" w:after="120"/>
        <w:jc w:val="both"/>
        <w:rPr/>
      </w:pPr>
      <w:r>
        <w:rPr>
          <w:rFonts w:ascii="Times New Roman;sans-serif" w:hAnsi="Times New Roman;sans-serif"/>
          <w:b w:val="false"/>
          <w:color w:val="000000"/>
          <w:sz w:val="20"/>
        </w:rPr>
        <w:t xml:space="preserve">As of March 31, 2023 and </w:t>
      </w:r>
      <w:r>
        <w:rPr>
          <w:rFonts w:ascii="Times New Roman;sans-serif" w:hAnsi="Times New Roman;sans-serif"/>
          <w:b w:val="false"/>
          <w:color w:val="231F20"/>
          <w:sz w:val="20"/>
        </w:rPr>
        <w:t>December 31, 2022</w:t>
      </w:r>
      <w:r>
        <w:rPr>
          <w:rFonts w:ascii="Times New Roman;sans-serif" w:hAnsi="Times New Roman;sans-serif"/>
          <w:b w:val="false"/>
          <w:color w:val="000000"/>
          <w:sz w:val="20"/>
        </w:rPr>
        <w:t>, under the Company’s certificate of incorporation, as amended and restated, the Company has 10,000,000 shares of preferred stock, par value $0.0001 per share, in authorized capital with no shares outstanding.</w:t>
      </w:r>
      <w:r>
        <w:rPr>
          <w:color w:val="231F20"/>
        </w:rPr>
        <w:t xml:space="preserve">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300,000,000 shares of authorized common stock, par value of $0.0001 per share under the Company's certificate of incorporation, as amended and restated. As of March 31, 2023 and December 31, 2022, the shares of common stock outstanding were 24,436,990 and 24,435,007, respectively.</w:t>
      </w:r>
    </w:p>
    <w:p>
      <w:pPr>
        <w:pStyle w:val="TextBody"/>
        <w:spacing w:lineRule="auto" w:line="288" w:before="0" w:after="0"/>
        <w:jc w:val="both"/>
        <w:rPr/>
      </w:pPr>
      <w:r>
        <w:rPr>
          <w:rFonts w:ascii="Times New Roman;sans-serif" w:hAnsi="Times New Roman;sans-serif"/>
          <w:b w:val="false"/>
          <w:color w:val="000000"/>
          <w:sz w:val="20"/>
          <w:highlight w:val="white"/>
        </w:rPr>
        <w:t xml:space="preserve">In March 2022, the Company entered into a </w:t>
      </w:r>
      <w:r>
        <w:rPr>
          <w:rFonts w:ascii="Times New Roman;sans-serif" w:hAnsi="Times New Roman;sans-serif"/>
          <w:b w:val="false"/>
          <w:color w:val="000000"/>
          <w:sz w:val="20"/>
        </w:rPr>
        <w:t>Sales Agreement (the "Sales Agreement") with Cowen and Company LLC (“Cowen”)</w:t>
      </w:r>
      <w:r>
        <w:rPr>
          <w:rFonts w:ascii="Times New Roman;sans-serif" w:hAnsi="Times New Roman;sans-serif"/>
          <w:b w:val="false"/>
          <w:color w:val="000000"/>
          <w:sz w:val="20"/>
          <w:highlight w:val="white"/>
        </w:rPr>
        <w:t xml:space="preserve">, with respect to an “at the market offering” program </w:t>
      </w:r>
      <w:r>
        <w:rPr>
          <w:rFonts w:ascii="Times New Roman;sans-serif" w:hAnsi="Times New Roman;sans-serif"/>
          <w:b w:val="false"/>
          <w:color w:val="000000"/>
          <w:sz w:val="20"/>
        </w:rPr>
        <w:t>pursuant to which the Company may offer and sell, from time to time at its sole discretion, shares of common stock having aggregate gross proceeds of up to $75.0 million through Cowen as its sales agent</w:t>
      </w:r>
      <w:r>
        <w:rPr>
          <w:rFonts w:ascii="Times New Roman;sans-serif" w:hAnsi="Times New Roman;sans-serif"/>
          <w:b w:val="false"/>
          <w:color w:val="000000"/>
          <w:sz w:val="20"/>
          <w:highlight w:val="white"/>
        </w:rPr>
        <w:t xml:space="preserve">. The Company will pay Cowen 3.0% of the aggregate gross proceeds from each sale of shares of common stock under the Sales Agreement. As of </w:t>
      </w:r>
      <w:r>
        <w:rPr>
          <w:rFonts w:ascii="Times New Roman;sans-serif" w:hAnsi="Times New Roman;sans-serif"/>
          <w:b w:val="false"/>
          <w:color w:val="000000"/>
          <w:sz w:val="20"/>
        </w:rPr>
        <w:t>March 31, 2023</w:t>
      </w:r>
      <w:r>
        <w:rPr>
          <w:rFonts w:ascii="Times New Roman;sans-serif" w:hAnsi="Times New Roman;sans-serif"/>
          <w:b w:val="false"/>
          <w:color w:val="000000"/>
          <w:sz w:val="20"/>
          <w:highlight w:val="white"/>
        </w:rPr>
        <w:t>, no shares of common stock had been sold pursuant to the Sales Agreement.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highlight w:val="white"/>
        </w:rPr>
        <w:t xml:space="preserve">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Aggregated net proceeds, after deducting certain expenses incurred of $0.3 million related to the issuance of the shares were $72.2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22,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March 31, 2023, all Pre-Funded Warrants are still outstanding.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common stock are entitled to receive cash dividends, if and when declared by the board of directors of the Company (the “board of directors”). Since the Company’s inception, no cash dividends have been declared or paid to the holders of common stock.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w:t>
      </w:r>
    </w:p>
    <w:p>
      <w:pPr>
        <w:pStyle w:val="TextBody"/>
        <w:spacing w:lineRule="auto" w:line="288" w:before="120" w:after="120"/>
        <w:jc w:val="both"/>
        <w:rPr/>
      </w:pPr>
      <w:r>
        <w:rPr>
          <w:rFonts w:ascii="Times New Roman;sans-serif" w:hAnsi="Times New Roman;sans-serif"/>
          <w:b w:val="false"/>
          <w:color w:val="000000"/>
          <w:sz w:val="20"/>
        </w:rPr>
        <w:t>In the event of any voluntary or involuntary liquidation, dissolution, or winding-up of the Company, the holders of common stock are entitled to share ratably in the Company’s assets.</w:t>
      </w:r>
      <w:r>
        <w:rPr>
          <w:color w:val="000000"/>
        </w:rPr>
        <w:t xml:space="preserve">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for each share of common stock held at all meetings of stockholders and written actions in lieu of meetings.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10. Share-Based Compensation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2014 Plan (as amended and restated in February 2017, the “Private Aadi Plan”)</w:t>
      </w:r>
    </w:p>
    <w:p>
      <w:pPr>
        <w:pStyle w:val="TextBody"/>
        <w:spacing w:lineRule="auto" w:line="288" w:before="120" w:after="120"/>
        <w:jc w:val="both"/>
        <w:rPr/>
      </w:pPr>
      <w:r>
        <w:rPr>
          <w:rFonts w:ascii="Times New Roman;sans-serif" w:hAnsi="Times New Roman;sans-serif"/>
          <w:b w:val="false"/>
          <w:color w:val="000000"/>
          <w:sz w:val="20"/>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sans-serif" w:hAnsi="Times New Roman;sans-serif"/>
          <w:b w:val="false"/>
          <w:color w:val="231F20"/>
          <w:sz w:val="20"/>
        </w:rPr>
        <w:t xml:space="preserve">The Private Aadi Plan allowed for the grant of incentive stock options, non-statutory stock options, stock appreciation rights, restricted stock unit awards and other stock awards. In connection with the closing of the Merger and the adoption of the 2021 Plan (as defined below), no further awards will be issued under the Private Aadi Plan.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options that are granted from the Private Aadi Plan are exercisable at various dates as determined upon grant and will expire no more than ten years from their date of grant. The Private Aadi Plan stock options generally vest over a four-year term.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2011 Plan and 2017 Plan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Merger and adoption of the 2021 Plan (as defined below).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2021 Plan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Merger (provided that the maximum number of shares that may be added to the 2021 Plan pursuant to this sentence is 764,154 shares). </w:t>
      </w:r>
    </w:p>
    <w:p>
      <w:pPr>
        <w:pStyle w:val="TextBody"/>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available for issuance under the 2021 Plan also will include an annual increase, or the evergreen feature, on the first day of each of the Company’s fiscal years, beginning with the Company’s fiscal year 2022, equal to the least of: </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2,070,784 shares of common stock; </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 number of shares equal to 4% of the outstanding shares of common stock on the last day of the immediately preceding fiscal year; or </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such number of shares as the board of directors or its designated committee may determine.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evergreen increase, a total of 977,400 shares were added to the 2021 Plan on January 1, 2023.</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296,343, 99,025 and 3,450,997 shares were outstanding under the Private Aadi Plan, 2017 Plan and 2021 Plan, respectively. As of March 31, 2023, no shares were outstanding under the 2011 Plan.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stock option activity during the three months ended March 31, 2023: </w:t>
      </w:r>
    </w:p>
    <w:tbl>
      <w:tblPr>
        <w:tblW w:w="10205" w:type="dxa"/>
        <w:jc w:val="left"/>
        <w:tblInd w:w="0" w:type="dxa"/>
        <w:tblCellMar>
          <w:top w:w="28" w:type="dxa"/>
          <w:left w:w="28" w:type="dxa"/>
          <w:bottom w:w="28" w:type="dxa"/>
          <w:right w:w="28" w:type="dxa"/>
        </w:tblCellMar>
      </w:tblPr>
      <w:tblGrid>
        <w:gridCol w:w="1349"/>
        <w:gridCol w:w="1186"/>
        <w:gridCol w:w="1190"/>
        <w:gridCol w:w="488"/>
        <w:gridCol w:w="488"/>
        <w:gridCol w:w="206"/>
        <w:gridCol w:w="109"/>
        <w:gridCol w:w="109"/>
        <w:gridCol w:w="109"/>
        <w:gridCol w:w="311"/>
        <w:gridCol w:w="910"/>
        <w:gridCol w:w="160"/>
        <w:gridCol w:w="109"/>
        <w:gridCol w:w="109"/>
        <w:gridCol w:w="109"/>
        <w:gridCol w:w="462"/>
        <w:gridCol w:w="462"/>
        <w:gridCol w:w="464"/>
        <w:gridCol w:w="109"/>
        <w:gridCol w:w="109"/>
        <w:gridCol w:w="109"/>
        <w:gridCol w:w="331"/>
        <w:gridCol w:w="969"/>
        <w:gridCol w:w="248"/>
      </w:tblGrid>
      <w:tr>
        <w:trPr/>
        <w:tc>
          <w:tcPr>
            <w:tcW w:w="1349"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3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Option</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w:t>
              <w:b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2,990,423 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1,261,506 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Expired/cancelled</w:t>
            </w:r>
          </w:p>
        </w:tc>
        <w:tc>
          <w:tcPr>
            <w:tcW w:w="97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(403,581)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3,846,365 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March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851,373 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2023</w:t>
            </w:r>
          </w:p>
        </w:tc>
        <w:tc>
          <w:tcPr>
            <w:tcW w:w="97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3,846,365 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aggregate intrinsic value of options outstanding was $1.3 million. For the three months ended March 31, 2023, and 2022, the weighted-average grant-date fair value of options granted was $8.57 and $14.80 per share, respectively.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$30.9 million of unrecognized compensation cost related to stock options, which is expected to be recognized over a weighted average period of 2.83 years.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the options exercised during the three months ended March 31, 2023, and 2022, was $16,000 and $0.1 million, respectively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568,368 and 853,760 shares were reserved for issuance under the 2021 Plan, respectively.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Expense Summary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the following compensation cost related to employee and non-employee share-based compensation activity for the periods presented (in thousands): </w:t>
      </w:r>
    </w:p>
    <w:tbl>
      <w:tblPr>
        <w:tblW w:w="5835" w:type="dxa"/>
        <w:jc w:val="left"/>
        <w:tblInd w:w="0" w:type="dxa"/>
        <w:tblCellMar>
          <w:top w:w="28" w:type="dxa"/>
          <w:left w:w="28" w:type="dxa"/>
          <w:bottom w:w="28" w:type="dxa"/>
          <w:right w:w="28" w:type="dxa"/>
        </w:tblCellMar>
      </w:tblPr>
      <w:tblGrid>
        <w:gridCol w:w="1071"/>
        <w:gridCol w:w="941"/>
        <w:gridCol w:w="943"/>
        <w:gridCol w:w="230"/>
        <w:gridCol w:w="672"/>
        <w:gridCol w:w="119"/>
        <w:gridCol w:w="119"/>
        <w:gridCol w:w="119"/>
        <w:gridCol w:w="119"/>
        <w:gridCol w:w="230"/>
        <w:gridCol w:w="672"/>
        <w:gridCol w:w="119"/>
        <w:gridCol w:w="109"/>
        <w:gridCol w:w="109"/>
        <w:gridCol w:w="109"/>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determine the estimated fair value for share-based awards. Option pricing and models require the input of various assumptions, including the option’s expected life, expected dividend yield, price volatility and risk-free interest rate of the underlying stock.</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7639" w:type="dxa"/>
        <w:jc w:val="left"/>
        <w:tblInd w:w="0" w:type="dxa"/>
        <w:tblCellMar>
          <w:top w:w="28" w:type="dxa"/>
          <w:left w:w="28" w:type="dxa"/>
          <w:bottom w:w="28" w:type="dxa"/>
          <w:right w:w="28" w:type="dxa"/>
        </w:tblCellMar>
      </w:tblPr>
      <w:tblGrid>
        <w:gridCol w:w="1313"/>
        <w:gridCol w:w="1154"/>
        <w:gridCol w:w="1163"/>
        <w:gridCol w:w="455"/>
        <w:gridCol w:w="455"/>
        <w:gridCol w:w="455"/>
        <w:gridCol w:w="266"/>
        <w:gridCol w:w="266"/>
        <w:gridCol w:w="266"/>
        <w:gridCol w:w="455"/>
        <w:gridCol w:w="455"/>
        <w:gridCol w:w="455"/>
        <w:gridCol w:w="109"/>
        <w:gridCol w:w="109"/>
        <w:gridCol w:w="109"/>
        <w:gridCol w:w="154"/>
      </w:tblGrid>
      <w:tr>
        <w:trPr/>
        <w:tc>
          <w:tcPr>
            <w:tcW w:w="1313"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grant date fair value (per share)</w:t>
            </w:r>
          </w:p>
        </w:tc>
        <w:tc>
          <w:tcPr>
            <w:tcW w:w="1365"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$14.80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365" w:type="dxa"/>
            <w:gridSpan w:val="3"/>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3.42% - 4.17%</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1.46% - 1.76%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365" w:type="dxa"/>
            <w:gridSpan w:val="3"/>
            <w:tcBorders/>
            <w:shd w:fill="CCEE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89.94% - 95.72%</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85.99% - 86.25%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5.8 - 6.1</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1365"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Merger Warrants to Purchase Common Stock</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warrants outstanding for the purchase of 29,167 shares of the Company’s common stock at both March 31, 2023, and December 31, 2022.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three months ended March 31, 2023. At the grant date, the fair value of these awards was determined using a Black-Scholes option pricing model. </w:t>
      </w:r>
    </w:p>
    <w:p>
      <w:pPr>
        <w:pStyle w:val="TextBody"/>
        <w:spacing w:lineRule="auto" w:line="288" w:before="120" w:after="120"/>
        <w:jc w:val="both"/>
        <w:rPr/>
      </w:pPr>
      <w:r>
        <w:rPr>
          <w:rFonts w:ascii="Times New Roman;sans-serif" w:hAnsi="Times New Roman;sans-serif"/>
          <w:b w:val="false"/>
          <w:color w:val="000000"/>
          <w:sz w:val="20"/>
        </w:rPr>
        <w:t>The number of shares and the exercise price shall be adjusted for standard anti-dilution events such as stock splits, combinations, reorganizations, or issue shares as part of a stock dividend.</w:t>
      </w:r>
      <w:r>
        <w:rPr>
          <w:color w:val="000000"/>
        </w:rPr>
        <w:t xml:space="preserve"> </w:t>
      </w:r>
      <w:r>
        <w:rPr>
          <w:rFonts w:ascii="Times New Roman;sans-serif" w:hAnsi="Times New Roman;sans-serif"/>
          <w:b w:val="false"/>
          <w:color w:val="000000"/>
          <w:sz w:val="20"/>
        </w:rPr>
        <w:t>The warrants meet the criteria to be classified within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11. Employee Stock Purchase Plan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were initially reserved for issuance under the 2021 ESPP. The number of shares of common stock available for issuance under the 2021 ESPP will be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2023, 244,350 share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4979" w:type="dxa"/>
        <w:jc w:val="left"/>
        <w:tblInd w:w="0" w:type="dxa"/>
        <w:tblCellMar>
          <w:top w:w="28" w:type="dxa"/>
          <w:left w:w="28" w:type="dxa"/>
          <w:bottom w:w="28" w:type="dxa"/>
          <w:right w:w="28" w:type="dxa"/>
        </w:tblCellMar>
      </w:tblPr>
      <w:tblGrid>
        <w:gridCol w:w="769"/>
        <w:gridCol w:w="676"/>
        <w:gridCol w:w="684"/>
        <w:gridCol w:w="833"/>
        <w:gridCol w:w="833"/>
        <w:gridCol w:w="1184"/>
      </w:tblGrid>
      <w:tr>
        <w:trPr/>
        <w:tc>
          <w:tcPr>
            <w:tcW w:w="76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 (per share)</w:t>
            </w:r>
          </w:p>
        </w:tc>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$11.40 - $11.66</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 - 4.40%</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92.59% - 105.68%</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20" w:after="120"/>
        <w:jc w:val="both"/>
        <w:rPr/>
      </w:pPr>
      <w:r>
        <w:rPr>
          <w:rFonts w:ascii="Times New Roman;sans-serif" w:hAnsi="Times New Roman;sans-serif"/>
          <w:b w:val="false"/>
          <w:color w:val="000000"/>
          <w:sz w:val="20"/>
        </w:rPr>
        <w:t xml:space="preserve">As of March 31, 2023, and </w:t>
      </w:r>
      <w:r>
        <w:rPr>
          <w:rFonts w:ascii="Times New Roman;sans-serif" w:hAnsi="Times New Roman;sans-serif"/>
          <w:b w:val="false"/>
          <w:color w:val="000000"/>
          <w:sz w:val="20"/>
          <w:highlight w:val="white"/>
        </w:rPr>
        <w:t>December 31, 2022,</w:t>
      </w:r>
      <w:r>
        <w:rPr>
          <w:color w:val="000000"/>
        </w:rPr>
        <w:t xml:space="preserve"> </w:t>
      </w:r>
      <w:r>
        <w:rPr>
          <w:rFonts w:ascii="Times New Roman;sans-serif" w:hAnsi="Times New Roman;sans-serif"/>
          <w:b w:val="false"/>
          <w:color w:val="000000"/>
          <w:sz w:val="20"/>
        </w:rPr>
        <w:t xml:space="preserve">736,711 and 492,361 shares of common stock were available for issuance under the 2021 ESPP, respectively. The Company had an outstanding liability of $0.3 million and $0.1 million as of March 31, 2023, and </w:t>
      </w:r>
      <w:r>
        <w:rPr>
          <w:rFonts w:ascii="Times New Roman;sans-serif" w:hAnsi="Times New Roman;sans-serif"/>
          <w:b w:val="false"/>
          <w:color w:val="000000"/>
          <w:sz w:val="20"/>
          <w:highlight w:val="white"/>
        </w:rPr>
        <w:t>December 31, 2022</w:t>
      </w:r>
      <w:r>
        <w:rPr>
          <w:rFonts w:ascii="Times New Roman;sans-serif" w:hAnsi="Times New Roman;sans-serif"/>
          <w:b w:val="false"/>
          <w:color w:val="000000"/>
          <w:sz w:val="20"/>
        </w:rPr>
        <w:t xml:space="preserve">, respectively, which will be recognized over six months. No shares were issued under the 2021 ESPP during the three months ended March 31, 2023, and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xml:space="preserve">,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12. Income Taxes </w:t>
      </w:r>
    </w:p>
    <w:p>
      <w:pPr>
        <w:pStyle w:val="TextBody"/>
        <w:spacing w:lineRule="auto" w:line="288" w:before="120" w:after="120"/>
        <w:jc w:val="both"/>
        <w:rPr/>
      </w:pPr>
      <w:r>
        <w:rPr>
          <w:rFonts w:ascii="Times New Roman;sans-serif" w:hAnsi="Times New Roman;sans-serif"/>
          <w:b w:val="false"/>
          <w:color w:val="000000"/>
          <w:sz w:val="20"/>
          <w:highlight w:val="white"/>
        </w:rPr>
        <w:t xml:space="preserve">The Company recorded income tax expense of zero for the </w:t>
      </w:r>
      <w:r>
        <w:rPr>
          <w:rFonts w:ascii="Times New Roman;sans-serif" w:hAnsi="Times New Roman;sans-serif"/>
          <w:b w:val="false"/>
          <w:color w:val="000000"/>
          <w:sz w:val="20"/>
        </w:rPr>
        <w:t>three months ended</w:t>
      </w:r>
      <w:r>
        <w:rPr>
          <w:color w:val="000000"/>
          <w:highlight w:val="white"/>
        </w:rPr>
        <w:t xml:space="preserve"> </w:t>
      </w:r>
      <w:r>
        <w:rPr>
          <w:rFonts w:ascii="Times New Roman;sans-serif" w:hAnsi="Times New Roman;sans-serif"/>
          <w:b w:val="false"/>
          <w:color w:val="000000"/>
          <w:sz w:val="20"/>
          <w:highlight w:val="white"/>
        </w:rPr>
        <w:t xml:space="preserve">March 31, 2023 and 2022, respectively. The Company continues to maintain a full valuation allowance.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w:t>
      </w:r>
    </w:p>
    <w:p>
      <w:pPr>
        <w:pStyle w:val="TextBody"/>
        <w:spacing w:lineRule="auto" w:line="288" w:before="120" w:after="120"/>
        <w:jc w:val="both"/>
        <w:rPr/>
      </w:pPr>
      <w:r>
        <w:rPr>
          <w:rFonts w:ascii="Times New Roman;sans-serif" w:hAnsi="Times New Roman;sans-serif"/>
          <w:b w:val="false"/>
          <w:color w:val="000000"/>
          <w:sz w:val="20"/>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 provide certain manufacturing information to EOC.</w:t>
      </w:r>
      <w:r>
        <w:rPr>
          <w:color w:val="000000"/>
        </w:rPr>
        <w:t xml:space="preserve"> </w:t>
      </w:r>
      <w:r>
        <w:rPr>
          <w:rFonts w:ascii="Times New Roman;sans-serif" w:hAnsi="Times New Roman;sans-serif"/>
          <w:b w:val="false"/>
          <w:color w:val="000000"/>
          <w:sz w:val="20"/>
        </w:rPr>
        <w:t xml:space="preserve">As a result, EOC is seeking monetary damages. The arbitration process is ongoing. The Company intends to defend itself vigorously in this matter and pursue all relief to which the Company is entitled. The Company is unable to estimate the possible loss or range of loss, therefore no amounts have been accrued as of March 31, 2023. See Note 8 for more information about the EOC License Agreement and its termination.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ongoing contracts with vendors for clinical trials and contract manufacturing. These contracts are generally cancellable, with notice, at the Company’s option. The Company recorded accrued expenses of $2.2 million and $2.8 million for expenditures incurred by clinical and contract manufacturing vendors as of March 31, 2023, and December 31, 2022, respectively.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one significant contract with Fresenius Kabi that contains specific activities including non-cancellable commitments, minimum purchase commitments, and binding annual forecasts. As of March 31, 2023, there were non-cancellable purchase commitments related to the purchase of inventory for $1.5 million to be paid in 2023.</w:t>
      </w:r>
    </w:p>
    <w:p>
      <w:pPr>
        <w:pStyle w:val="TextBody"/>
        <w:spacing w:lineRule="auto" w:line="288" w:before="120" w:after="1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Mirati Collaboration</w:t>
      </w:r>
    </w:p>
    <w:p>
      <w:pPr>
        <w:pStyle w:val="TextBody"/>
        <w:spacing w:lineRule="auto" w:line="288" w:before="120" w:after="283"/>
        <w:jc w:val="both"/>
        <w:rPr/>
      </w:pPr>
      <w:r>
        <w:rPr>
          <w:rFonts w:ascii="Times New Roman;sans-serif" w:hAnsi="Times New Roman;sans-serif"/>
          <w:b w:val="false"/>
          <w:color w:val="000000"/>
          <w:sz w:val="20"/>
        </w:rPr>
        <w:t>In October 2022, the Company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other solid tumors. Under the terms of the agreement, Mirati will be responsible for sponsoring and operating the Phase 1/2 study and the Company will supply study drug and jointly share the cost of the study. </w:t>
      </w:r>
    </w:p>
    <w:p>
      <w:pPr>
        <w:pStyle w:val="TextBody"/>
        <w:spacing w:lineRule="auto" w:line="288" w:before="120" w:after="283"/>
        <w:jc w:val="both"/>
        <w:rPr/>
      </w:pPr>
      <w:r>
        <w:rPr>
          <w:rFonts w:ascii="Times New Roman;sans-serif" w:hAnsi="Times New Roman;sans-serif"/>
          <w:b w:val="false"/>
          <w:color w:val="000000"/>
          <w:sz w:val="20"/>
        </w:rPr>
        <w:t>The primary objective of this multi-center, single-arm, open-label Phase 1/2 trial is to determine the optimal dose and recommended Phase 2 dose for the combination of adagrasib and FYARRO in patients with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mutant solid tumors. In addition, the study will investigate the safety, tolerability and efficacy of adagrasib and FYARRO in combination in patients both with and without prior exposure to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inhibitor. The trial will build on preclinical data showing enhanced anti-tumor efficacy with the combination of adagrasib and FYARRO relative to either agent alone.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incurred $0.4 million expenses related to the Mirati collaboration.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maintain regulatory approval for FYARRO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advanced malignant perivascular epithelioid cell tumors (“PEComa”), or to obtain and maintain regulatory approval for FYARRO in additional indications, or any other product candidates we may develop in the future, and any related restrictions, limitations or warnings in the label of an approved product candidate;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plans and potential for success relating to commercializing FYARRO, or any other product candidate that we may develop, if approved;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plans related to the further development and manufacturing of FYARRO;</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scope or likelihood of regulatory filings and approvals for FYARRO for advanced malignant PEComa in foreign jurisdictions and any additional indications we may pursue and any other product candidates we may develop in the future;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pricing and reimbursement of FYARRO and any other product candidates we may develop in the future, if approved;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rate and degree of market acceptance of FYARRO and any other product candidates we may develop in the future, if approved;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progress and results of preclinical studies and clinical trials for our programs and product candidates, including the anticipated impact of the COVID-19 pandemic, the timing of initiation and completion of studies or trials and related preparatory work, the period during which the results of the trials will become available and our research and development programs;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recruit and enroll suitable patients in our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expectations regarding the beneficial characteristics, safety, efficacy and therapeutic effects of FYARRO and any other product candidates that we may develop in the future;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develop and advance product candidates into, and successfully complete, clinical studies;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implementation of our business model and our strategic plans for our business;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establish or maintain collaborations or strategic relationships or obtain additional funding;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contract with and rely on third parties to assist in conducting our clinical trials and manufacturing FYARRO and any other product candidates we may develop in the future;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size and growth potential of the markets for FYARRO and any other product candidates we may develop in the future, if approved, and our ability to serve those markets, either alone or in partnership with others;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period over which we anticipate our existing cash and cash equivalents will be sufficient to fund our operating expenses and capital expenditure requirements;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for our business development efforts to maximize the potential value of our portfolio;</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compete with other companies currently marketing or engaged in the development of treatments for the indications that we are pursuing for FYARRO and any other product candidates we may develop in the future;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expectations regarding our ability to obtain and maintain intellectual property protection for our product candidates;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financial performance;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statements regarding the legal proceedings related to the termination of the EOC License Agreement;</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retain the continued service of our key professionals and to identify, hire and retain additional qualified professionals;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w:t>
      </w:r>
    </w:p>
    <w:p>
      <w:pPr>
        <w:pStyle w:val="TextBody"/>
        <w:spacing w:lineRule="auto" w:line="288" w:before="120" w:after="120"/>
        <w:jc w:val="both"/>
        <w:rPr/>
      </w:pPr>
      <w:r>
        <w:rPr>
          <w:rFonts w:ascii="Times New Roman;sans-serif" w:hAnsi="Times New Roman;sans-serif"/>
          <w:b w:val="false"/>
          <w:color w:val="000000"/>
          <w:sz w:val="20"/>
          <w:highlight w:val="white"/>
        </w:rPr>
        <w:t xml:space="preserve">References in the following discussion to </w:t>
      </w:r>
      <w:r>
        <w:rPr>
          <w:color w:val="000000"/>
        </w:rPr>
        <w:t>“</w:t>
      </w:r>
      <w:r>
        <w:rPr>
          <w:rFonts w:ascii="Times New Roman;sans-serif" w:hAnsi="Times New Roman;sans-serif"/>
          <w:b w:val="false"/>
          <w:color w:val="000000"/>
          <w:sz w:val="20"/>
          <w:highlight w:val="white"/>
        </w:rPr>
        <w:t>we,</w:t>
      </w:r>
      <w:r>
        <w:rPr>
          <w:color w:val="000000"/>
        </w:rPr>
        <w:t>”</w:t>
      </w:r>
      <w:r>
        <w:rPr>
          <w:color w:val="000000"/>
          <w:highlight w:val="white"/>
        </w:rPr>
        <w:t xml:space="preserve"> </w:t>
      </w:r>
      <w:r>
        <w:rPr>
          <w:color w:val="000000"/>
        </w:rPr>
        <w:t>“</w:t>
      </w:r>
      <w:r>
        <w:rPr>
          <w:rFonts w:ascii="Times New Roman;sans-serif" w:hAnsi="Times New Roman;sans-serif"/>
          <w:b w:val="false"/>
          <w:color w:val="000000"/>
          <w:sz w:val="20"/>
          <w:highlight w:val="white"/>
        </w:rPr>
        <w:t>our,</w:t>
      </w:r>
      <w:r>
        <w:rPr>
          <w:color w:val="000000"/>
        </w:rPr>
        <w:t>”</w:t>
      </w:r>
      <w:r>
        <w:rPr>
          <w:color w:val="000000"/>
          <w:highlight w:val="white"/>
        </w:rPr>
        <w:t xml:space="preserve"> </w:t>
      </w:r>
      <w:r>
        <w:rPr>
          <w:color w:val="000000"/>
        </w:rPr>
        <w:t>“</w:t>
      </w:r>
      <w:r>
        <w:rPr>
          <w:rFonts w:ascii="Times New Roman;sans-serif" w:hAnsi="Times New Roman;sans-serif"/>
          <w:b w:val="false"/>
          <w:color w:val="000000"/>
          <w:sz w:val="20"/>
          <w:highlight w:val="white"/>
        </w:rPr>
        <w:t>us,</w:t>
      </w:r>
      <w:r>
        <w:rPr>
          <w:color w:val="000000"/>
        </w:rPr>
        <w:t>”</w:t>
      </w:r>
      <w:r>
        <w:rPr>
          <w:color w:val="000000"/>
          <w:highlight w:val="white"/>
        </w:rPr>
        <w:t xml:space="preserve"> </w:t>
      </w:r>
      <w:r>
        <w:rPr>
          <w:rFonts w:ascii="Times New Roman;sans-serif" w:hAnsi="Times New Roman;sans-serif"/>
          <w:b w:val="false"/>
          <w:color w:val="000000"/>
          <w:sz w:val="20"/>
          <w:highlight w:val="white"/>
        </w:rPr>
        <w:t xml:space="preserve">or </w:t>
      </w:r>
      <w:r>
        <w:rPr>
          <w:color w:val="000000"/>
        </w:rPr>
        <w:t>“</w:t>
      </w:r>
      <w:r>
        <w:rPr>
          <w:rFonts w:ascii="Times New Roman;sans-serif" w:hAnsi="Times New Roman;sans-serif"/>
          <w:b w:val="false"/>
          <w:color w:val="000000"/>
          <w:sz w:val="20"/>
          <w:highlight w:val="white"/>
        </w:rPr>
        <w:t>Aadi</w:t>
      </w:r>
      <w:r>
        <w:rPr>
          <w:color w:val="000000"/>
        </w:rPr>
        <w:t>”</w:t>
      </w:r>
      <w:r>
        <w:rPr>
          <w:color w:val="000000"/>
          <w:highlight w:val="white"/>
        </w:rPr>
        <w:t xml:space="preserve"> </w:t>
      </w:r>
      <w:r>
        <w:rPr>
          <w:rFonts w:ascii="Times New Roman;sans-serif" w:hAnsi="Times New Roman;sans-serif"/>
          <w:b w:val="false"/>
          <w:color w:val="000000"/>
          <w:sz w:val="20"/>
          <w:highlight w:val="white"/>
        </w:rPr>
        <w:t>refer to Aadi Bioscience, Inc. and its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for the year ending December 31, 2022 filed with the SEC on March 29, 2023.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120"/>
        <w:jc w:val="both"/>
        <w:rPr/>
      </w:pPr>
      <w:r>
        <w:rPr>
          <w:rFonts w:ascii="Times New Roman;sans-serif" w:hAnsi="Times New Roman;sans-serif"/>
          <w:b w:val="false"/>
          <w:color w:val="000000"/>
          <w:sz w:val="20"/>
        </w:rPr>
        <w:t>We are a biopharmaceutical company focused on developing and commercializing precision therapies for genetically defined cancers with alterations in mTOR pathway genes. Our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is a form of sirolimus bound to albumin. Sirolimus is a potent inhibitor of the mTOR biological pathway, the activation of which pathway can promote tumor growth. We believe our approach to utilizing albumin bound sirolimus has the potential to produce transformational therapies to cancer patients with mTOR pathway driver alterations where other mTOR inhibitors have not or cannot be effectively exploited due to problems of pharmacology, effective drug delivery, safety, or effective targeting to the disease site.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and recognized net product sales of $5.9 million for the three months ended March 31, 2023. See “Results of Consolidated Operations” for further discussion of our results. </w:t>
      </w:r>
    </w:p>
    <w:p>
      <w:pPr>
        <w:pStyle w:val="TextBody"/>
        <w:spacing w:lineRule="auto" w:line="288" w:before="120" w:after="120"/>
        <w:jc w:val="both"/>
        <w:rPr/>
      </w:pPr>
      <w:r>
        <w:rPr>
          <w:rFonts w:ascii="Times New Roman;sans-serif" w:hAnsi="Times New Roman;sans-serif"/>
          <w:b w:val="false"/>
          <w:color w:val="000000"/>
          <w:sz w:val="20"/>
        </w:rPr>
        <w:t>In addition to advanced malignant PEComa, based on exploratory data from our completed Phase 2 registrational study, Advanced Malignant PEComa Trial (“AMPECT”), and our expanded access program for FYARRO, we have initiated a registration-directed tumor-agnostic Phase 2 study (“PRECISION 1”) of FYARRO in patients with Tuberous Sclerosis Complex 1 and 2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&amp; </w:t>
      </w:r>
      <w:r>
        <w:rPr>
          <w:rFonts w:ascii="Times New Roman;sans-serif" w:hAnsi="Times New Roman;sans-serif"/>
          <w:b w:val="false"/>
          <w:i/>
          <w:color w:val="000000"/>
          <w:sz w:val="20"/>
        </w:rPr>
        <w:t>TSC2”</w:t>
      </w:r>
      <w:r>
        <w:rPr>
          <w:rFonts w:ascii="Times New Roman;sans-serif" w:hAnsi="Times New Roman;sans-serif"/>
          <w:b w:val="false"/>
          <w:color w:val="000000"/>
          <w:sz w:val="20"/>
        </w:rPr>
        <w:t xml:space="preserve">) alterations. We have completed a Type B meeting with the FDA in which we discussed the trial design and the PRECISION 1 trial was opened for enrollment in the United States during the first quarter of 2022, with dosing of our first patient in March 2022. Based on initial information from the PRECISION 1 trial, enrollment is well-balanced, the trial is accruing evenly between the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TSC2</w:t>
      </w:r>
      <w:r>
        <w:rPr>
          <w:color w:val="000000"/>
        </w:rPr>
        <w:t xml:space="preserve"> </w:t>
      </w:r>
      <w:r>
        <w:rPr>
          <w:rFonts w:ascii="Times New Roman;sans-serif" w:hAnsi="Times New Roman;sans-serif"/>
          <w:b w:val="false"/>
          <w:color w:val="000000"/>
          <w:sz w:val="20"/>
        </w:rPr>
        <w:t>arms, and more than 15 discreet tumor types have been enrolled with no more than three of any type. A pre-planned interim analysis on 40 patients with appropriate follow-up is expected by the end of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Board Appointment</w:t>
      </w:r>
      <w:r>
        <w:rPr>
          <w:rFonts w:ascii="Times New Roman;sans-serif" w:hAnsi="Times New Roman;sans-serif"/>
          <w:b w:val="false"/>
          <w:color w:val="000000"/>
          <w:sz w:val="20"/>
        </w:rPr>
        <w:t xml:space="preserve">. On March 27, 2023, we announced the appointment of Mohammad Hirmand, M.D. to our Board of Directors. Dr. Hirmand has more than 20 years of biotechnology clinical development experience, and recently served as executive vice president and chief medical officer for Turning Point Therapeutics, which was acquired by Bristol Myers Squibb ("BMS") for $4.1 billion in August 2022.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Leadership Transition</w:t>
      </w:r>
      <w:r>
        <w:rPr>
          <w:rFonts w:ascii="Times New Roman;sans-serif" w:hAnsi="Times New Roman;sans-serif"/>
          <w:b w:val="false"/>
          <w:color w:val="000000"/>
          <w:sz w:val="20"/>
        </w:rPr>
        <w:t xml:space="preserve">. Effective January 1, 2023, our board of directors appointed Brendan Delaney, our former Chief Operating Officer, to President and Chief Executive Officer and Neil Desai, our founder, director, and former-President and Chief Executive Officer, to Executive Chairman. Mr. Delaney was also appointed to serve on our board of directors. Effective March 14, 2023, Mr. Delaney resigned from his position as President and Chief Executive Officer and as a member of our board of directors, and, effective March 15, 2023, our board of directors appointed Scott Giacobello, our Chief Financial Officer, as Interim Chief Executive Officer and President. Mr. Giacobello will continue to serve in his role as Chief Financial Officer in addition to his role as Interim Chief Executive Officer and President. In addition, Dr. Desai, the founder of the company and our President and Chief Executive Officer prior to Mr. Delaney, continues to serve as the Executive Chairman and a member of our board of directors and will assist with the leadership transition. The Board has also initiated an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search for a successor chief executive officer, and, as such, Mr. Giacobello’s position of Interim Chief Executive Officer and President will end when a successor is appointed. </w:t>
      </w:r>
    </w:p>
    <w:p>
      <w:pPr>
        <w:pStyle w:val="TextBody"/>
        <w:spacing w:lineRule="auto" w:line="288" w:before="120" w:after="120"/>
        <w:ind w:left="0" w:right="0" w:hanging="360"/>
        <w:jc w:val="both"/>
        <w:rPr/>
      </w:pPr>
      <w:r>
        <w:rPr>
          <w:color w:val="000000"/>
        </w:rPr>
        <w:t>•</w:t>
      </w:r>
      <w:r>
        <w:rPr>
          <w:rFonts w:ascii="Times New Roman;sans-serif" w:hAnsi="Times New Roman;sans-serif"/>
          <w:b w:val="false"/>
          <w:i/>
          <w:color w:val="000000"/>
          <w:sz w:val="20"/>
        </w:rPr>
        <w:t>Mirati Collaboration</w:t>
      </w:r>
      <w:r>
        <w:rPr>
          <w:rFonts w:ascii="Times New Roman;sans-serif" w:hAnsi="Times New Roman;sans-serif"/>
          <w:b w:val="false"/>
          <w:color w:val="000000"/>
          <w:sz w:val="20"/>
        </w:rPr>
        <w:t>. In October 2022, we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other solid tumors. Under the terms of the agreement, Mirati will be responsible for sponsoring and operating the Phase 1/2 study and we will supply study drug and jointly share the cost of the study. </w:t>
      </w:r>
    </w:p>
    <w:p>
      <w:pPr>
        <w:pStyle w:val="TextBody"/>
        <w:spacing w:lineRule="auto" w:line="288" w:before="120" w:after="283"/>
        <w:jc w:val="both"/>
        <w:rPr/>
      </w:pPr>
      <w:r>
        <w:rPr>
          <w:rFonts w:ascii="Times New Roman;sans-serif" w:hAnsi="Times New Roman;sans-serif"/>
          <w:b w:val="false"/>
          <w:color w:val="000000"/>
          <w:sz w:val="20"/>
        </w:rPr>
        <w:t>The primary objective of this multi-center, single-arm, open-label Phase 1/2 trial is to determine the optimal dose and recommended Phase 2 dose for the combination of adagrasib and FYARRO in patients with KRAS</w:t>
      </w:r>
      <w:r>
        <w:rPr>
          <w:rFonts w:ascii="Times New Roman;sans-serif" w:hAnsi="Times New Roman;sans-serif"/>
          <w:b w:val="false"/>
          <w:color w:val="000000"/>
          <w:sz w:val="13"/>
        </w:rPr>
        <w:t>G12C-</w:t>
      </w:r>
      <w:r>
        <w:rPr>
          <w:rFonts w:ascii="Times New Roman;sans-serif" w:hAnsi="Times New Roman;sans-serif"/>
          <w:b w:val="false"/>
          <w:color w:val="000000"/>
          <w:sz w:val="20"/>
        </w:rPr>
        <w:t>mutant solid tumors. In addition, the study will investigate the safety, tolerability and efficacy of adagrasib and FYARRO in combination in patients both with and without prior exposure to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inhibitor. The trial will build on preclinical data showing enhanced anti-tumor efficacy with the combination of adagrasib and FYARRO relative to either agent alone.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BMS License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During the three months ended March 31, 2023, we recorded royalties of $0.4 million under the terms of this agreement. No payments related to milestones under this agreement were paid during the three months ended March 31, 2023. See Note 8 to the condensed consolidated financial statements for more information about the BMS License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an August 2021 amendment to the license agreement, we paid BMS $5.8 million, representing 50% of the previously outstanding payment obligation under the agreement, following the effective time of the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amendment, the remaining portion of the previously outstanding payment obligation ($5.8 million), which is recorded on our condensed consolidated balance sheets as due to licensor, is due on the third anniversary of the effective time of such 2021 PIPE Financing plus any accrued and unpaid interest due thereon.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EOC License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we entered into the EOC License Agreement with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as of December 31, 2021, which was paid in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2022, we received written notice from EOC that EOC has elected to terminate the EOC License Agreement, effective immediately. On June 27, 2022, EOC filed a Request for Arbitration with the International Chamber of Commerce’s International Court of Arbitration against us. The arbitration process is ongoing. We intend to defend ourselves vigorously in this matter and pursue all relief to which we are entitled. We are unable to estimate the possible loss or range of loss, therefore no amounts have been accrued as of March 31, 2023. See Notes 8 and 13 to the condensed consolidated financial statements for more information about the EOC License Agreement, its termination and pending arbitration.</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Impact of Negative Global or National Events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Eastern Europe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While we have largely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continue to actively monitor our supply chain in light of these challenging global and national events and circumstances, including our third-party materials suppliers. To date, we have experienced some supply disruptions due to the COVID-19 pandemic, including closures at certain chip manufacturers, which led to extended lead times for FYARRO and diversion of certain lab materials needed to support COVID-19 relief efforts.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have been, and may continue to be, affected by the closure of offices, lack of resources or closure of borders, among other measures being put in place around the world and we made certain modifications to employee travel, with masking and vaccination requirements in our offices, and with our employees working remotely fully or intermittently. Any continued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the remainder of fiscal year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Key Trends and Factors Affecting Comparability Between Periods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Commercial sale of FYARRO was launched on February 22, 2022, for the treatment of patients with advanced malignant PEComa. We recorded net product sales of $5.9 million during the three months ended March 31, 2023.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commercialization of FYARRO, including personnel expenses, sales support, and marketing are included in selling, general and administrative expenses for the three months ended March 31, 2023. We expect these expenses will continue to increase, as compared to prior periods, with the ongoing commercialization of FYARRO and preparation for potential future launches.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continue to build out our research and development team and we expect our research and development costs will increase in 2023, relative to 2022, as a result of significant expenses related to the PRECISION 1 trial which was open to enrollment during the year ended December 31, 2022, with the first patient dosed in March 2022.</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As a public company our expenses have increased from when we were a privately held company, including (i) costs to comply with the rules and regulations of the SEC and those of the Nasdaq Capital Market (“Nasdaq”), (ii)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legal, accounting and other professional services, (iii) insurance, (iv) investor relations activities, and (v) other administrative and professional services.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Liquidity and Capital Resources </w:t>
      </w:r>
    </w:p>
    <w:p>
      <w:pPr>
        <w:pStyle w:val="TextBody"/>
        <w:spacing w:lineRule="auto" w:line="288" w:before="120" w:after="120"/>
        <w:jc w:val="both"/>
        <w:rPr/>
      </w:pPr>
      <w:r>
        <w:rPr>
          <w:rFonts w:ascii="Times New Roman;sans-serif" w:hAnsi="Times New Roman;sans-serif"/>
          <w:b w:val="false"/>
          <w:color w:val="000000"/>
          <w:sz w:val="20"/>
        </w:rPr>
        <w:t>As of March 31, 2023, we had $151.2 million of cash, cash equivalents and short-term investments. Based on our current plans, we believe our existing cash, cash equivalents and short-term investments will enable us to conduct our planned operations into 2025. We have incurred net losses in each year since inception and as of March 31, 2023, we had an accumulated deficit of $218.4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 other product candidates we may develop in the future and the commercial launch of FYARRO</w:t>
      </w:r>
      <w:r>
        <w:rPr>
          <w:rFonts w:ascii="Times New Roman;sans-serif" w:hAnsi="Times New Roman;sans-serif"/>
          <w:b w:val="false"/>
          <w:color w:val="000000"/>
          <w:sz w:val="24"/>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Components of Condensed Consolidated Statements of Operations and Comprehensive Loss</w:t>
      </w:r>
    </w:p>
    <w:p>
      <w:pPr>
        <w:pStyle w:val="TextBody"/>
        <w:spacing w:lineRule="auto" w:line="288" w:before="120" w:after="1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Revenue</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spacing w:lineRule="auto" w:line="288" w:before="120" w:after="120"/>
        <w:ind w:left="0" w:right="0" w:hanging="360"/>
        <w:jc w:val="both"/>
        <w:rPr/>
      </w:pPr>
      <w:r>
        <w:rPr>
          <w:color w:val="000000"/>
        </w:rPr>
        <w:t>•</w:t>
      </w: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pStyle w:val="TextBody"/>
        <w:spacing w:lineRule="auto" w:line="288" w:before="120" w:after="120"/>
        <w:ind w:left="0" w:right="0" w:hanging="360"/>
        <w:jc w:val="both"/>
        <w:rPr/>
      </w:pPr>
      <w:r>
        <w:rPr>
          <w:color w:val="000000"/>
        </w:rPr>
        <w:t>•</w:t>
      </w: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 </w:t>
      </w:r>
    </w:p>
    <w:p>
      <w:pPr>
        <w:pStyle w:val="TextBody"/>
        <w:spacing w:lineRule="auto" w:line="288" w:before="120" w:after="120"/>
        <w:ind w:left="0" w:right="0" w:hanging="360"/>
        <w:jc w:val="both"/>
        <w:rPr/>
      </w:pPr>
      <w:r>
        <w:rPr>
          <w:color w:val="000000"/>
        </w:rPr>
        <w:t>•</w:t>
      </w: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We offer co-payment assistance to commercially insured patients meeting certain eligibility requirement.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12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Selling, General and Administrative Expenses</w:t>
      </w:r>
    </w:p>
    <w:p>
      <w:pPr>
        <w:pStyle w:val="TextBody"/>
        <w:spacing w:lineRule="auto" w:line="288" w:before="120" w:after="120"/>
        <w:jc w:val="both"/>
        <w:rPr/>
      </w:pPr>
      <w:r>
        <w:rPr>
          <w:rFonts w:ascii="Times New Roman;sans-serif" w:hAnsi="Times New Roman;sans-serif"/>
          <w:b w:val="false"/>
          <w:color w:val="000000"/>
          <w:sz w:val="20"/>
        </w:rPr>
        <w:t xml:space="preserve">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w:t>
      </w:r>
      <w:r>
        <w:rPr>
          <w:rFonts w:ascii="Times New Roman;sans-serif" w:hAnsi="Times New Roman;sans-serif"/>
          <w:b w:val="false"/>
          <w:color w:val="000000"/>
          <w:sz w:val="20"/>
          <w:highlight w:val="white"/>
        </w:rPr>
        <w:t>Additionally, we have incurred, and expect to continue to incur, significant additional expenses associated with being a public company that we did not incur as a privately held company, including (i) costs to comply with the rules and regulations of the SEC and those of Nasdaq, (ii) legal, accounting and other professional services, (iii) insurance, (iv) investor relations activities and (v) other administrative and professional services.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substantially in the foreseeable future as we continue to invest in research and development activities, pursue clinical development of FYARRO in additional indications and any other product candidates we may develop in the future and expand our product candidate pipeline.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consist primarily of royalties paid to BMS, costs incurred on sales of FYARRO and costs to manufacture and prepare the product for sales subsequent to the FDA approval in November 2021. Costs incurred prior to the FDA approval were expensed when incurred.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income, net consists of the change in fair value of convertible promissory notes and interest expense related to such notes. These expenses are partially offset by interest income earned on cash, cash equivalents and short-term investments, and gain on extinguishment of debt.</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recognized no income tax expense on the condensed consolidated statements of operations and comprehensive loss, respectively. Since our formation in 2011, we have not recorded any U.S. federal or state income tax benefits for the net losses we have incurred in each year or our earned tax credits, due to our uncertainty of realizing a benefit from those items.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for the periods indicated (in thousands):</w:t>
      </w:r>
    </w:p>
    <w:tbl>
      <w:tblPr>
        <w:tblW w:w="5994" w:type="dxa"/>
        <w:jc w:val="left"/>
        <w:tblInd w:w="0" w:type="dxa"/>
        <w:tblCellMar>
          <w:top w:w="28" w:type="dxa"/>
          <w:left w:w="28" w:type="dxa"/>
          <w:bottom w:w="28" w:type="dxa"/>
          <w:right w:w="28" w:type="dxa"/>
        </w:tblCellMar>
      </w:tblPr>
      <w:tblGrid>
        <w:gridCol w:w="1068"/>
        <w:gridCol w:w="941"/>
        <w:gridCol w:w="945"/>
        <w:gridCol w:w="211"/>
        <w:gridCol w:w="796"/>
        <w:gridCol w:w="109"/>
        <w:gridCol w:w="109"/>
        <w:gridCol w:w="109"/>
        <w:gridCol w:w="109"/>
        <w:gridCol w:w="211"/>
        <w:gridCol w:w="796"/>
        <w:gridCol w:w="109"/>
        <w:gridCol w:w="109"/>
        <w:gridCol w:w="109"/>
        <w:gridCol w:w="109"/>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sales, net consist of sales of FYARRO since its launch in the United States on February 22, 2022. Product sales, net for the three months ended March 31, 2023 and 2022 were $5.9 million and $2.3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lineRule="auto" w:line="288" w:before="120" w:after="120"/>
        <w:jc w:val="both"/>
        <w:rPr/>
      </w:pPr>
      <w:r>
        <w:rPr>
          <w:rFonts w:ascii="Times New Roman;sans-serif" w:hAnsi="Times New Roman;sans-serif"/>
          <w:b w:val="false"/>
          <w:i/>
          <w:color w:val="000000"/>
          <w:sz w:val="20"/>
          <w:highlight w:val="white"/>
        </w:rPr>
        <w:t>Selling, General and Administrative Expenses</w:t>
      </w:r>
      <w:r>
        <w:rPr>
          <w:color w:val="000000"/>
        </w:rPr>
        <w:t xml:space="preser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three months ended March 31, 2023 and 2022, were $11.2 million and $9.1 million, respectively. The increase of $2.1 million was driven by $1.6 million of personnel expenses related to increased headcount, incentive bonuses and share-based compensation and $1.1 million of legal, marketing, and other related expenses, offset by a decrease of $0.6 million of consulting expenses and insurance.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12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our research and development expenses for the periods indicated (in thousands):</w:t>
      </w:r>
    </w:p>
    <w:tbl>
      <w:tblPr>
        <w:tblW w:w="6371" w:type="dxa"/>
        <w:jc w:val="left"/>
        <w:tblInd w:w="0" w:type="dxa"/>
        <w:tblCellMar>
          <w:top w:w="28" w:type="dxa"/>
          <w:left w:w="28" w:type="dxa"/>
          <w:bottom w:w="28" w:type="dxa"/>
          <w:right w:w="28" w:type="dxa"/>
        </w:tblCellMar>
      </w:tblPr>
      <w:tblGrid>
        <w:gridCol w:w="1267"/>
        <w:gridCol w:w="1110"/>
        <w:gridCol w:w="1118"/>
        <w:gridCol w:w="219"/>
        <w:gridCol w:w="751"/>
        <w:gridCol w:w="113"/>
        <w:gridCol w:w="113"/>
        <w:gridCol w:w="113"/>
        <w:gridCol w:w="113"/>
        <w:gridCol w:w="219"/>
        <w:gridCol w:w="641"/>
        <w:gridCol w:w="113"/>
        <w:gridCol w:w="109"/>
        <w:gridCol w:w="109"/>
        <w:gridCol w:w="109"/>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Consultants</w:t>
            </w:r>
          </w:p>
        </w:tc>
        <w:tc>
          <w:tcPr>
            <w:tcW w:w="97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clinical development</w:t>
            </w:r>
          </w:p>
        </w:tc>
        <w:tc>
          <w:tcPr>
            <w:tcW w:w="97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drug product manufacturing</w:t>
            </w:r>
          </w:p>
        </w:tc>
        <w:tc>
          <w:tcPr>
            <w:tcW w:w="97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7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2023 and 2022 were $11.0 million and $6.8 million, respectively. The increase of $4.2 million was primarily driven by a $2.5 million increase in headcount, consultants, and other expenses, $1.2 million of clinical development expenses related to the PRECISION 1 trial, and $0.5 million in clinical drug product manufacturing.</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spacing w:lineRule="auto" w:line="288" w:before="120" w:after="120"/>
        <w:jc w:val="both"/>
        <w:rPr/>
      </w:pPr>
      <w:r>
        <w:rPr>
          <w:rFonts w:ascii="Times New Roman;sans-serif" w:hAnsi="Times New Roman;sans-serif"/>
          <w:b w:val="false"/>
          <w:color w:val="000000"/>
          <w:sz w:val="20"/>
          <w:highlight w:val="white"/>
        </w:rPr>
        <w:t xml:space="preserve">Cost of goods sold was $0.5 million and $0.2 million for the </w:t>
      </w:r>
      <w:r>
        <w:rPr>
          <w:rFonts w:ascii="Times New Roman;sans-serif" w:hAnsi="Times New Roman;sans-serif"/>
          <w:b w:val="false"/>
          <w:color w:val="000000"/>
          <w:sz w:val="20"/>
        </w:rPr>
        <w:t xml:space="preserve">three months ended March 31, 2023, and 2022, respectively, </w:t>
      </w:r>
      <w:r>
        <w:rPr>
          <w:rFonts w:ascii="Times New Roman;sans-serif" w:hAnsi="Times New Roman;sans-serif"/>
          <w:b w:val="false"/>
          <w:color w:val="000000"/>
          <w:sz w:val="20"/>
          <w:highlight w:val="white"/>
        </w:rPr>
        <w:t>primarily reflecting royalties incurred on product sold.</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Other Income (Expense), Net</w:t>
      </w:r>
    </w:p>
    <w:p>
      <w:pPr>
        <w:pStyle w:val="TextBody"/>
        <w:spacing w:lineRule="auto" w:line="288" w:before="120" w:after="120"/>
        <w:jc w:val="both"/>
        <w:rPr/>
      </w:pPr>
      <w:r>
        <w:rPr>
          <w:rFonts w:ascii="Times New Roman;sans-serif" w:hAnsi="Times New Roman;sans-serif"/>
          <w:b w:val="false"/>
          <w:color w:val="000000"/>
          <w:sz w:val="20"/>
          <w:highlight w:val="white"/>
        </w:rPr>
        <w:t xml:space="preserve">Other income, net for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was $1.6 million, compared to other expense, net of $43,000 for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xml:space="preserve">. The change was primarily driven by higher interest rates on short-term investments held during the three months ended </w:t>
      </w:r>
      <w:r>
        <w:rPr>
          <w:rFonts w:ascii="Times New Roman;sans-serif" w:hAnsi="Times New Roman;sans-serif"/>
          <w:b w:val="false"/>
          <w:color w:val="000000"/>
          <w:sz w:val="20"/>
        </w:rPr>
        <w:t>March 31, 2023, compared to</w:t>
      </w:r>
      <w:r>
        <w:rPr>
          <w:color w:val="000000"/>
          <w:highlight w:val="white"/>
        </w:rPr>
        <w:t xml:space="preserve"> </w:t>
      </w:r>
      <w:r>
        <w:rPr>
          <w:rFonts w:ascii="Times New Roman;sans-serif" w:hAnsi="Times New Roman;sans-serif"/>
          <w:b w:val="false"/>
          <w:color w:val="000000"/>
          <w:sz w:val="20"/>
          <w:highlight w:val="white"/>
        </w:rPr>
        <w:t xml:space="preserve">the three months ended </w:t>
      </w:r>
      <w:r>
        <w:rPr>
          <w:rFonts w:ascii="Times New Roman;sans-serif" w:hAnsi="Times New Roman;sans-serif"/>
          <w:b w:val="false"/>
          <w:color w:val="000000"/>
          <w:sz w:val="20"/>
        </w:rPr>
        <w:t>March 31, 2022</w:t>
      </w:r>
      <w:r>
        <w:rPr>
          <w:rFonts w:ascii="Times New Roman;sans-serif" w:hAnsi="Times New Roman;sans-serif"/>
          <w:b w:val="false"/>
          <w:color w:val="000000"/>
          <w:sz w:val="20"/>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12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Overview</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$151.2 million of cash, cash equivalents and short-term investments. Based on our current plans, we believe our existing cash, cash equivalents and short-term investments will enable us to conduct our planned operations into 2025.</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inception and as of March 31, 2023, we had an accumulated deficit of $218.4 million. Our net losses were $15.2 million and $13.9 million for the three months ended March 31, 2023 and 2022, respectively. These losses have resulted principally from costs incurred in connection with research and development activities, selling, general and administrative costs associated with our operations.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commercial launch of FYARRO. We expect our expenses, and the potential for losses, to increase substantially as we conduct clinical trials of FYARRO in additional indications and seek to expand our pipeline.</w:t>
      </w:r>
    </w:p>
    <w:p>
      <w:pPr>
        <w:pStyle w:val="TextBody"/>
        <w:spacing w:lineRule="auto" w:line="268" w:before="0" w:after="0"/>
        <w:jc w:val="both"/>
        <w:rPr/>
      </w:pPr>
      <w:r>
        <w:rPr>
          <w:rFonts w:ascii="Times New Roman;sans-serif" w:hAnsi="Times New Roman;sans-serif"/>
          <w:b w:val="false"/>
          <w:color w:val="000000"/>
          <w:sz w:val="20"/>
        </w:rPr>
        <w:t>From inception through March 31, 2023, we received funding of $25.4 million from our initial seed financing and the sale of Series A convertible preferred stock, $9.1 million from the issuance of convertible promissory notes, $145.4 million, net from the 2021 PIPE Financing in connection with the Merger, $29.7 million of cash assumed in the Merger, and $72.2 million, net cash proceeds from a</w:t>
      </w:r>
      <w:r>
        <w:rPr>
          <w:color w:val="000000"/>
          <w:highlight w:val="white"/>
        </w:rPr>
        <w:t xml:space="preserve"> </w:t>
      </w:r>
      <w:r>
        <w:rPr>
          <w:rFonts w:ascii="Times New Roman;sans-serif" w:hAnsi="Times New Roman;sans-serif"/>
          <w:b w:val="false"/>
          <w:color w:val="000000"/>
          <w:sz w:val="20"/>
          <w:highlight w:val="white"/>
        </w:rPr>
        <w:t>private investment in public equity financing (the “2022 PIPE Financing”) with certain investors (the “2022 PIPE Investors”)</w:t>
      </w:r>
      <w:r>
        <w:rPr>
          <w:rFonts w:ascii="Times New Roman;sans-serif" w:hAnsi="Times New Roman;sans-serif"/>
          <w:b w:val="false"/>
          <w:color w:val="000000"/>
          <w:sz w:val="20"/>
        </w:rPr>
        <w:t xml:space="preserv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March 31, 2023, no shares of common stock had been sold under the Sales Agreement.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shelf registration statement allows us to sell from time to 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pStyle w:val="TextBody"/>
        <w:spacing w:lineRule="auto" w:line="288" w:before="120" w:after="283"/>
        <w:jc w:val="both"/>
        <w:rPr/>
      </w:pPr>
      <w:r>
        <w:rPr>
          <w:rFonts w:ascii="Times New Roman;sans-serif" w:hAnsi="Times New Roman;sans-serif"/>
          <w:b w:val="false"/>
          <w:color w:val="000000"/>
          <w:sz w:val="20"/>
          <w:highlight w:val="white"/>
        </w:rPr>
        <w:t xml:space="preserve">On September 22, 2022, the Company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Aggregated net proceeds, after deducting certain expenses incurred of $0.3 million related to the issuance of the shares were $72.2 million.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 (in thousands):</w:t>
      </w:r>
    </w:p>
    <w:tbl>
      <w:tblPr>
        <w:tblW w:w="7344" w:type="dxa"/>
        <w:jc w:val="left"/>
        <w:tblInd w:w="0" w:type="dxa"/>
        <w:tblCellMar>
          <w:top w:w="28" w:type="dxa"/>
          <w:left w:w="28" w:type="dxa"/>
          <w:bottom w:w="28" w:type="dxa"/>
          <w:right w:w="28" w:type="dxa"/>
        </w:tblCellMar>
      </w:tblPr>
      <w:tblGrid>
        <w:gridCol w:w="1715"/>
        <w:gridCol w:w="1510"/>
        <w:gridCol w:w="1515"/>
        <w:gridCol w:w="211"/>
        <w:gridCol w:w="796"/>
        <w:gridCol w:w="109"/>
        <w:gridCol w:w="109"/>
        <w:gridCol w:w="109"/>
        <w:gridCol w:w="109"/>
        <w:gridCol w:w="211"/>
        <w:gridCol w:w="796"/>
        <w:gridCol w:w="154"/>
      </w:tblGrid>
      <w:tr>
        <w:trPr/>
        <w:tc>
          <w:tcPr>
            <w:tcW w:w="1715"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pStyle w:val="TextBody"/>
        <w:spacing w:lineRule="auto" w:line="288" w:before="120" w:after="120"/>
        <w:jc w:val="both"/>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rPr>
        <w:t>months ended March 31, 2023</w:t>
      </w:r>
      <w:r>
        <w:rPr>
          <w:rFonts w:ascii="Times New Roman;sans-serif" w:hAnsi="Times New Roman;sans-serif"/>
          <w:b w:val="false"/>
          <w:color w:val="000000"/>
          <w:sz w:val="20"/>
          <w:highlight w:val="white"/>
        </w:rPr>
        <w:t xml:space="preserve">, cash used in operating activities was $21.3 million and resulted from (i) our net loss of $15.2 million, and (ii) $7.8 million net </w:t>
      </w:r>
      <w:r>
        <w:rPr>
          <w:rFonts w:ascii="Times New Roman;sans-serif" w:hAnsi="Times New Roman;sans-serif"/>
          <w:b w:val="false"/>
          <w:color w:val="000000"/>
          <w:sz w:val="20"/>
        </w:rPr>
        <w:t>decrease</w:t>
      </w:r>
      <w:r>
        <w:rPr>
          <w:color w:val="000000"/>
          <w:highlight w:val="white"/>
        </w:rPr>
        <w:t xml:space="preserve"> </w:t>
      </w:r>
      <w:r>
        <w:rPr>
          <w:rFonts w:ascii="Times New Roman;sans-serif" w:hAnsi="Times New Roman;sans-serif"/>
          <w:b w:val="false"/>
          <w:color w:val="000000"/>
          <w:sz w:val="20"/>
          <w:highlight w:val="white"/>
        </w:rPr>
        <w:t>in our working capital accounts, primarily driven by an increase in accounts receivable, prepaid expenses, inventory, accounts payable and accrued expenses, and decrease in other non-current assets; offset by net non-cash adjustments totaling $1.7 million, which was primarily related share based compensation, discount amortization on short-term investments, lease expense, depreciation and amortization.</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three months ended March 31, 2022, cash used in operating activities was $19.4 million and resulted from (i) our net loss of $13.9 million, partially offset by non-cash adjustments totaling $2.0 million, which was primarily related to share based compensation, depreciation and amortization, and (ii) $7.5 million net decrease in our working capital accounts, primarily driven by an increase in accounts receivable, accounts payable and accrued expenses related to the commercial launch of FYARRO in February 2022.</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lineRule="auto" w:line="288" w:before="120" w:after="120"/>
        <w:jc w:val="both"/>
        <w:rPr/>
      </w:pPr>
      <w:r>
        <w:rPr>
          <w:rFonts w:ascii="Times New Roman;sans-serif" w:hAnsi="Times New Roman;sans-serif"/>
          <w:b w:val="false"/>
          <w:color w:val="000000"/>
          <w:sz w:val="20"/>
        </w:rPr>
        <w:t>Cash provided by investing activities for the three</w:t>
      </w:r>
      <w:r>
        <w:rPr>
          <w:color w:val="000000"/>
          <w:highlight w:val="white"/>
        </w:rPr>
        <w:t xml:space="preserve"> </w:t>
      </w:r>
      <w:r>
        <w:rPr>
          <w:rFonts w:ascii="Times New Roman;sans-serif" w:hAnsi="Times New Roman;sans-serif"/>
          <w:b w:val="false"/>
          <w:color w:val="000000"/>
          <w:sz w:val="20"/>
        </w:rPr>
        <w:t>months ended March 31, 2023 related to purchases of fixed assets of $1.4 million and short-term investments of $23.1 million, offset by maturities of short-term investments of $40.8 million.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for the three months ended March 31, 2022 related to purchases of fixed assets.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20" w:after="120"/>
        <w:jc w:val="both"/>
        <w:rPr/>
      </w:pPr>
      <w:r>
        <w:rPr>
          <w:rFonts w:ascii="Times New Roman;sans-serif" w:hAnsi="Times New Roman;sans-serif"/>
          <w:b w:val="false"/>
          <w:color w:val="000000"/>
          <w:sz w:val="20"/>
        </w:rPr>
        <w:t>Cash provided by financing activities for the three</w:t>
      </w:r>
      <w:r>
        <w:rPr>
          <w:color w:val="000000"/>
          <w:highlight w:val="white"/>
        </w:rPr>
        <w:t xml:space="preserve"> </w:t>
      </w:r>
      <w:r>
        <w:rPr>
          <w:rFonts w:ascii="Times New Roman;sans-serif" w:hAnsi="Times New Roman;sans-serif"/>
          <w:b w:val="false"/>
          <w:color w:val="000000"/>
          <w:sz w:val="20"/>
        </w:rPr>
        <w:t xml:space="preserve">months ended March 31, 2023 related to the exercise of stock options.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for the three months ended March 31, 2022 related to the exercise of stock options and warrants.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Contractual Obligations and Commitments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lease for 10,615 square feet of office space in Morristown, New Jersey. The term of the lease is seventy-three months unless terminated sooner.</w:t>
      </w:r>
    </w:p>
    <w:p>
      <w:pPr>
        <w:pStyle w:val="TextBody"/>
        <w:spacing w:lineRule="auto" w:line="288" w:before="120" w:after="283"/>
        <w:jc w:val="both"/>
        <w:rPr/>
      </w:pPr>
      <w:r>
        <w:rPr>
          <w:rFonts w:ascii="Times New Roman;sans-serif" w:hAnsi="Times New Roman;sans-serif"/>
          <w:b w:val="false"/>
          <w:color w:val="000000"/>
          <w:sz w:val="20"/>
        </w:rPr>
        <w:t>In August 2021, we entered into an amendment to extend the lease of our 2,760 square feet of office space in Pacific Palisades, California. We</w:t>
      </w:r>
      <w:r>
        <w:rPr>
          <w:color w:val="231F20"/>
        </w:rPr>
        <w:t xml:space="preserve"> </w:t>
      </w:r>
      <w:r>
        <w:rPr>
          <w:rFonts w:ascii="Times New Roman;sans-serif" w:hAnsi="Times New Roman;sans-serif"/>
          <w:b w:val="false"/>
          <w:color w:val="231F20"/>
          <w:sz w:val="20"/>
        </w:rPr>
        <w:t xml:space="preserve">exercised an option, under our prior lease agreement, to extend the term of the lease for an additional three-year period. Included in the renewal were nine months of rent abatement and a rent escalation clause. </w:t>
      </w:r>
    </w:p>
    <w:p>
      <w:pPr>
        <w:pStyle w:val="TextBody"/>
        <w:spacing w:lineRule="auto" w:line="288" w:before="120" w:after="283"/>
        <w:jc w:val="both"/>
        <w:rPr/>
      </w:pPr>
      <w:r>
        <w:rPr>
          <w:rFonts w:ascii="Times New Roman;sans-serif" w:hAnsi="Times New Roman;sans-serif"/>
          <w:b w:val="false"/>
          <w:color w:val="231F20"/>
          <w:sz w:val="20"/>
        </w:rPr>
        <w:t xml:space="preserve">Rent expense is being recorded on a straight-line basis. Rent expense related to the Pacific Palisades and Morristown leases was $0.1 million and $0.1 million for the </w:t>
      </w:r>
      <w:r>
        <w:rPr>
          <w:rFonts w:ascii="Times New Roman;sans-serif" w:hAnsi="Times New Roman;sans-serif"/>
          <w:b w:val="false"/>
          <w:color w:val="000000"/>
          <w:sz w:val="20"/>
        </w:rPr>
        <w:t>three months ended March 31, 2023 and 2022</w:t>
      </w:r>
      <w:r>
        <w:rPr>
          <w:rFonts w:ascii="Times New Roman;sans-serif" w:hAnsi="Times New Roman;sans-serif"/>
          <w:b w:val="false"/>
          <w:color w:val="231F20"/>
          <w:sz w:val="20"/>
        </w:rPr>
        <w:t>, respectively</w:t>
      </w:r>
      <w:r>
        <w:rPr>
          <w:rFonts w:ascii="Times New Roman;sans-serif" w:hAnsi="Times New Roman;sans-serif"/>
          <w:b w:val="false"/>
          <w:color w:val="000000"/>
          <w:sz w:val="20"/>
        </w:rPr>
        <w:t>. See Note 7 to the condensed consolidated financial statements for details related to future lease payments.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product from Fresenius Kabi, on a purchase order basis. The Fresenius Agreement contains specific activities such as non-cancellable commitments, minimum purchase commitments, or binding annual forecasts. Under the Fresenius Agreement, which is effective through March 31, 2024 (or such later date as may be agreed between the parties in writing), we may purchase FYARRO for either clinical or commercial purposes for use in the United States and Canada.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spacing w:lineRule="auto" w:line="288" w:before="120" w:after="120"/>
        <w:jc w:val="both"/>
        <w:rPr/>
      </w:pPr>
      <w:r>
        <w:rPr>
          <w:rFonts w:ascii="Times New Roman;sans-serif" w:hAnsi="Times New Roman;sans-serif"/>
          <w:b w:val="false"/>
          <w:color w:val="000000"/>
          <w:sz w:val="20"/>
        </w:rPr>
        <w:t xml:space="preserve">For a discussion of our critical accounting estimates, please read Part II,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in our Annual Report on Form 10-K for the year ended December 31, 2022 filed with the SEC on March 29, 2023. There have been no material changes to the critical accounting estimates previously disclosed in our Annual Report on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information under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120"/>
        <w:rPr>
          <w:rFonts w:ascii="Times New Roman;sans-serif" w:hAnsi="Times New Roman;sans-serif"/>
          <w:b/>
          <w:i/>
          <w:color w:val="222222"/>
          <w:sz w:val="20"/>
          <w:highlight w:val="white"/>
        </w:rPr>
      </w:pPr>
      <w:r>
        <w:rPr>
          <w:rFonts w:ascii="Times New Roman;sans-serif" w:hAnsi="Times New Roman;sans-serif"/>
          <w:b/>
          <w:i/>
          <w:color w:val="222222"/>
          <w:sz w:val="20"/>
          <w:highlight w:val="white"/>
        </w:rPr>
        <w:t>Management’s Evaluation of our Disclosure Controls and Procedures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of and with the participation of our management, including our principal executive officer and principal financial officer, we conducted an evaluation of the effectiveness of our disclosure controls and procedures as of March 31, 2023,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management concluded that our disclosure controls and procedures were effective at the reasonable assurance level as of March 31, 2023.</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during the quarter ended March 31, 2023 that have materially affected, or are reasonably likely to materially affect, our internal control over financial reporting.</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For discussion of legal proceedings, see Item 1 of Part 1, “Condensed Consolidated Financial Statements - Note 13” 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incurred significant net losses since our inception, and we expect to continue to incur significant net losses for the foreseeable future.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generate revenue and achieve profitability depends significantly on our ability to achieve several objectives relating to the discovery, development and commercialization of FYARRO and any future product candidates.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or any future product candidates and our business will be substantially harmed.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Even following approval and commercialization of FYARRO for the advanced malignant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If any of our third-party manufacturers encounter difficulties in production, our ability to provide adequate supply of FYARRO for patients or for clinical trials or any other product candidate that we may develop in the future, if approved, could be delayed or prevented.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dependent on a single-source supplier for the drug product FYARRO, and the loss of such supplier could harm our business.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experience delays or difficulties in the enrollment and/or maintenance of patients in clinical trials, our regulatory submissions or receipt of necessary regulatory approvals could be delayed or prevented.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market opportunities for FYARRO and any other product candidates we may develop in the future, if approved, may be limited to certain smaller patient subsets.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or any future product candidates and our business will be substantially harmed.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depends on our ability to protect our intellectual property and our proprietary technologies.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If we do not obtain patent term extension for our product or any future product candidates, our business may be materially harmed.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depend on intellectual property licensed from third parties and termination of any of these licenses could result in the loss of significant rights, which would harm our business.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or such quantities at an acceptable cost, which could delay, prevent or impair our development or commercialization efforts.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We rely, and expect to continue to rely, on third parties to conduct our preclinical studies and clinical trials and those third parties may not perform satisfactorily.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Litigation and legal proceedings, including the EOC dispute, may substantially increase our costs and harm our business, irrespective of outcome.</w:t>
      </w:r>
    </w:p>
    <w:p>
      <w:pPr>
        <w:pStyle w:val="TextBody"/>
        <w:spacing w:lineRule="auto" w:line="288" w:before="120" w:after="120"/>
        <w:ind w:left="0" w:right="0" w:hanging="720"/>
        <w:rPr>
          <w:rFonts w:ascii="Times New Roman;sans-serif" w:hAnsi="Times New Roman;sans-serif"/>
          <w:b/>
          <w:color w:val="231F20"/>
          <w:sz w:val="20"/>
        </w:rPr>
      </w:pPr>
      <w:r>
        <w:rPr>
          <w:rFonts w:ascii="Times New Roman;sans-serif" w:hAnsi="Times New Roman;sans-serif"/>
          <w:b/>
          <w:color w:val="231F20"/>
          <w:sz w:val="20"/>
        </w:rPr>
        <w:t>Risks Related to Our Business, Financial Condition and Capital Requirements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spacing w:lineRule="auto" w:line="288" w:before="120" w:after="120"/>
        <w:jc w:val="both"/>
        <w:rPr/>
      </w:pPr>
      <w:r>
        <w:rPr>
          <w:rFonts w:ascii="Times New Roman;sans-serif" w:hAnsi="Times New Roman;sans-serif"/>
          <w:b w:val="false"/>
          <w:color w:val="231F20"/>
          <w:sz w:val="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Times New Roman;sans-serif" w:hAnsi="Times New Roman;sans-serif"/>
          <w:b w:val="false"/>
          <w:color w:val="000000"/>
          <w:sz w:val="20"/>
        </w:rPr>
        <w:t xml:space="preserve">for treatment of </w:t>
      </w:r>
      <w:r>
        <w:rPr>
          <w:rFonts w:ascii="Times New Roman;sans-serif" w:hAnsi="Times New Roman;sans-serif"/>
          <w:b w:val="false"/>
          <w:color w:val="231F20"/>
          <w:sz w:val="20"/>
        </w:rPr>
        <w:t>advanced malignant perivascular epithelioid cell tumor (“PEComa”)</w:t>
      </w:r>
      <w:r>
        <w:rPr>
          <w:color w:val="000000"/>
        </w:rPr>
        <w:t xml:space="preserve"> </w:t>
      </w:r>
      <w:r>
        <w:rPr>
          <w:rFonts w:ascii="Times New Roman;sans-serif" w:hAnsi="Times New Roman;sans-serif"/>
          <w:b w:val="false"/>
          <w:color w:val="231F20"/>
          <w:sz w:val="20"/>
        </w:rPr>
        <w:t xml:space="preserve">in February 2022. We generated net product sales for FYARRO of $5.9 million for the </w:t>
      </w:r>
      <w:r>
        <w:rPr>
          <w:rFonts w:ascii="Times New Roman;sans-serif" w:hAnsi="Times New Roman;sans-serif"/>
          <w:b w:val="false"/>
          <w:color w:val="000000"/>
          <w:sz w:val="20"/>
        </w:rPr>
        <w:t>three months ended</w:t>
      </w:r>
      <w:r>
        <w:rPr>
          <w:color w:val="231F20"/>
        </w:rPr>
        <w:t xml:space="preserve"> </w:t>
      </w:r>
      <w:r>
        <w:rPr>
          <w:rFonts w:ascii="Times New Roman;sans-serif" w:hAnsi="Times New Roman;sans-serif"/>
          <w:b w:val="false"/>
          <w:color w:val="231F20"/>
          <w:sz w:val="20"/>
        </w:rPr>
        <w:t xml:space="preserve">March 31, 2023.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 </w:t>
      </w:r>
    </w:p>
    <w:p>
      <w:pPr>
        <w:pStyle w:val="TextBody"/>
        <w:spacing w:lineRule="auto" w:line="288" w:before="120" w:after="283"/>
        <w:jc w:val="both"/>
        <w:rPr/>
      </w:pPr>
      <w:r>
        <w:rPr>
          <w:rFonts w:ascii="Times New Roman;sans-serif" w:hAnsi="Times New Roman;sans-serif"/>
          <w:b w:val="false"/>
          <w:color w:val="231F20"/>
          <w:sz w:val="20"/>
        </w:rPr>
        <w:t xml:space="preserve">To date, we have devoted substantially all of our resources to research and development activities, business planning, establishing and maintaining our intellectual property portfolio, preparing for commercialization of FYARRO, hiring personnel, raising capital and providing general and administrative support for these operations. We conducted a Phase 2 registrational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(the “AMPECT" trial) for PEComa and completed a rolling New Drug Application (an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both"/>
        <w:rPr/>
      </w:pPr>
      <w:r>
        <w:rPr>
          <w:color w:val="231F20"/>
        </w:rPr>
        <w:t>“</w:t>
      </w:r>
      <w:r>
        <w:rPr>
          <w:rFonts w:ascii="Times New Roman;sans-serif" w:hAnsi="Times New Roman;sans-serif"/>
          <w:b w:val="false"/>
          <w:color w:val="231F20"/>
          <w:sz w:val="20"/>
        </w:rPr>
        <w:t xml:space="preserve">NDA”) submission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May 2021. The U.S. Food and Drug Administration (the “FDA”) accepted our NDA in July 2021 and approved FYARRO for the treatment of advanced malignant PEComa in November 2021. </w:t>
      </w:r>
    </w:p>
    <w:p>
      <w:pPr>
        <w:pStyle w:val="TextBody"/>
        <w:spacing w:lineRule="auto" w:line="288" w:before="120" w:after="120"/>
        <w:jc w:val="both"/>
        <w:rPr/>
      </w:pPr>
      <w:r>
        <w:rPr>
          <w:rFonts w:ascii="Times New Roman;sans-serif" w:hAnsi="Times New Roman;sans-serif"/>
          <w:b w:val="false"/>
          <w:color w:val="231F20"/>
          <w:sz w:val="20"/>
        </w:rPr>
        <w:t>Based on the AMPECT trial and emerging data</w:t>
      </w:r>
      <w:r>
        <w:rPr>
          <w:color w:val="000000"/>
        </w:rPr>
        <w:t xml:space="preserve"> </w:t>
      </w:r>
      <w:r>
        <w:rPr>
          <w:rFonts w:ascii="Times New Roman;sans-serif" w:hAnsi="Times New Roman;sans-serif"/>
          <w:b w:val="false"/>
          <w:color w:val="231F20"/>
          <w:sz w:val="20"/>
        </w:rPr>
        <w:t xml:space="preserve">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other solid tumors with truncating Tuberous Sclerosis Complex 1 and 2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i/>
          <w:color w:val="231F20"/>
          <w:sz w:val="20"/>
        </w:rPr>
        <w:t xml:space="preserve">&amp; TSC2”) </w:t>
      </w:r>
      <w:r>
        <w:rPr>
          <w:rFonts w:ascii="Times New Roman;sans-serif" w:hAnsi="Times New Roman;sans-serif"/>
          <w:b w:val="false"/>
          <w:color w:val="231F20"/>
          <w:sz w:val="20"/>
        </w:rPr>
        <w:t xml:space="preserve">alterations, and following discussions with the FDA, we opened enrollment for our registration-directed tumor-agnostic Phase 2 trial (“PRECISION 1”) in malignant solid tumors harboring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i/>
          <w:color w:val="231F20"/>
          <w:sz w:val="20"/>
        </w:rPr>
        <w:t>&amp;</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inactivating alterations in the first quarter of 2022. In addition, in October 2022 we entered into a collaboration and supply agreement with Mirati Therapeutics, Inc. (“Mirati”) to evaluate the combination of Mirati’s adagrasib (KRAZATI™), a KRAS</w:t>
      </w:r>
      <w:r>
        <w:rPr>
          <w:rFonts w:ascii="Times New Roman;sans-serif" w:hAnsi="Times New Roman;sans-serif"/>
          <w:b w:val="false"/>
          <w:color w:val="231F20"/>
          <w:sz w:val="13"/>
        </w:rPr>
        <w:t>G12C</w:t>
      </w:r>
      <w:r>
        <w:rPr>
          <w:color w:val="231F20"/>
        </w:rPr>
        <w:t xml:space="preserve"> </w:t>
      </w:r>
      <w:r>
        <w:rPr>
          <w:rFonts w:ascii="Times New Roman;sans-serif" w:hAnsi="Times New Roman;sans-serif"/>
          <w:b w:val="false"/>
          <w:color w:val="231F20"/>
          <w:sz w:val="20"/>
        </w:rPr>
        <w:t>selective inhibitor, and FYARRO in KRAS</w:t>
      </w:r>
      <w:r>
        <w:rPr>
          <w:rFonts w:ascii="Times New Roman;sans-serif" w:hAnsi="Times New Roman;sans-serif"/>
          <w:b w:val="false"/>
          <w:color w:val="231F20"/>
          <w:sz w:val="13"/>
        </w:rPr>
        <w:t>G12C</w:t>
      </w:r>
      <w:r>
        <w:rPr>
          <w:color w:val="231F20"/>
        </w:rPr>
        <w:t xml:space="preserve"> </w:t>
      </w:r>
      <w:r>
        <w:rPr>
          <w:rFonts w:ascii="Times New Roman;sans-serif" w:hAnsi="Times New Roman;sans-serif"/>
          <w:b w:val="false"/>
          <w:color w:val="231F20"/>
          <w:sz w:val="20"/>
        </w:rPr>
        <w:t xml:space="preserve">mutant non-small cell lung cancer (NSCLC) and other solid tumors. Under the terms of the agreement, Mirati will be responsible for sponsoring and operating the Phase 1/2 study and we will supply study drug and jointly share the cost of the study. Our other programs are in early preclinical research stages.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incurred significant net losses since our inception, and we expect to continue to incur significant net losses for the foreseeable future.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$15.2 million and $13.9 million for the three months ended March 31, 2023 and 2022, respectively. We had an accumulated deficit of $218.4 million as of March 31, 2023, and $203.2 million as of December 31, 2022.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$5.9 million for the three months ended March 31, 2023,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pStyle w:val="TextBody"/>
        <w:spacing w:lineRule="auto" w:line="288" w:before="120" w:after="120"/>
        <w:jc w:val="both"/>
        <w:rPr/>
      </w:pPr>
      <w:r>
        <w:rPr>
          <w:rFonts w:ascii="Times New Roman;sans-serif" w:hAnsi="Times New Roman;sans-serif"/>
          <w:b w:val="false"/>
          <w:color w:val="231F20"/>
          <w:sz w:val="20"/>
        </w:rPr>
        <w:t xml:space="preserve">Even if we succeed in commercializing FYARRO for its approved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commercialization of FYARRO, the development of FYARRO for additional indications and any future product candidates, our ability to achieve and maintain profitability and the performance of our stock.</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generate revenue and achieve profitability depends significantly on our ability to achieve several objectives relating to the discovery, development and commercialization of our product candidates.</w:t>
      </w:r>
    </w:p>
    <w:p>
      <w:pPr>
        <w:pStyle w:val="TextBody"/>
        <w:spacing w:lineRule="auto" w:line="288" w:before="120" w:after="120"/>
        <w:jc w:val="both"/>
        <w:rPr/>
      </w:pPr>
      <w:r>
        <w:rPr>
          <w:rFonts w:ascii="Times New Roman;sans-serif" w:hAnsi="Times New Roman;sans-serif"/>
          <w:b w:val="false"/>
          <w:color w:val="231F20"/>
          <w:sz w:val="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w:t>
      </w:r>
      <w:r>
        <w:rPr>
          <w:rFonts w:ascii="Times New Roman;sans-serif" w:hAnsi="Times New Roman;sans-serif"/>
          <w:b w:val="false"/>
          <w:color w:val="000000"/>
          <w:sz w:val="20"/>
        </w:rPr>
        <w:t xml:space="preserve">on of additional indications (such as </w:t>
      </w:r>
      <w:r>
        <w:rPr>
          <w:rFonts w:ascii="Times New Roman;sans-serif" w:hAnsi="Times New Roman;sans-serif"/>
          <w:b w:val="false"/>
          <w:i/>
          <w:color w:val="000000"/>
          <w:sz w:val="20"/>
        </w:rPr>
        <w:t xml:space="preserve">TSC1 </w:t>
      </w:r>
      <w:r>
        <w:rPr>
          <w:rFonts w:ascii="Times New Roman;sans-serif" w:hAnsi="Times New Roman;sans-serif"/>
          <w:b w:val="false"/>
          <w:color w:val="000000"/>
          <w:sz w:val="20"/>
        </w:rPr>
        <w:t xml:space="preserve">&amp; </w:t>
      </w:r>
      <w:r>
        <w:rPr>
          <w:rFonts w:ascii="Times New Roman;sans-serif" w:hAnsi="Times New Roman;sans-serif"/>
          <w:b w:val="false"/>
          <w:i/>
          <w:color w:val="000000"/>
          <w:sz w:val="20"/>
        </w:rPr>
        <w:t>TSC2</w:t>
      </w:r>
      <w:r>
        <w:rPr>
          <w:rFonts w:ascii="Times New Roman;sans-serif" w:hAnsi="Times New Roman;sans-serif"/>
          <w:b w:val="false"/>
          <w:color w:val="000000"/>
          <w:sz w:val="20"/>
        </w:rPr>
        <w:t xml:space="preserve">), commercialize FYARRO in foreign jurisdictions or any </w:t>
      </w:r>
      <w:r>
        <w:rPr>
          <w:rFonts w:ascii="Times New Roman;sans-serif" w:hAnsi="Times New Roman;sans-serif"/>
          <w:b w:val="false"/>
          <w:color w:val="231F20"/>
          <w:sz w:val="20"/>
        </w:rPr>
        <w:t>future product candidates.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demonstrating the safety and efficacy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satisfaction of the FDA and obtaining regulatory approval for </w:t>
      </w:r>
      <w:r>
        <w:rPr>
          <w:rFonts w:ascii="Times New Roman;sans-serif" w:hAnsi="Times New Roman;sans-serif"/>
          <w:b w:val="false"/>
          <w:color w:val="000000"/>
          <w:sz w:val="20"/>
        </w:rPr>
        <w:t>FYARRO for other indications</w:t>
      </w:r>
      <w:r>
        <w:rPr>
          <w:color w:val="231F20"/>
        </w:rPr>
        <w:t xml:space="preserve"> </w:t>
      </w:r>
      <w:r>
        <w:rPr>
          <w:rFonts w:ascii="Times New Roman;sans-serif" w:hAnsi="Times New Roman;sans-serif"/>
          <w:b w:val="false"/>
          <w:color w:val="231F20"/>
          <w:sz w:val="20"/>
        </w:rPr>
        <w:t>and for any future product candidates, if any, for which there is a commercial market;</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launching and successfully commercializing FYARRO or any product candidates following any regulatory approval, including the development of a commercial infrastructure, whether in-house or with one or more collaborators;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maintaining commercially viable supply and manufacturing relationships with third parties that can provide adequate, in both amount and quality, products and services to support clinical development and meet the market demand for FYARRO or any other product candidates we may develop, if approved;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completing development activities, including clinical trials for </w:t>
      </w:r>
      <w:r>
        <w:rPr>
          <w:rFonts w:ascii="Times New Roman;sans-serif" w:hAnsi="Times New Roman;sans-serif"/>
          <w:b w:val="false"/>
          <w:color w:val="000000"/>
          <w:sz w:val="20"/>
        </w:rPr>
        <w:t xml:space="preserve">FYARRO for </w:t>
      </w:r>
      <w:r>
        <w:rPr>
          <w:rFonts w:ascii="Times New Roman;sans-serif" w:hAnsi="Times New Roman;sans-serif"/>
          <w:b w:val="false"/>
          <w:i/>
          <w:color w:val="000000"/>
          <w:sz w:val="20"/>
        </w:rPr>
        <w:t>TSC1 &amp; TSC2</w:t>
      </w:r>
      <w:r>
        <w:rPr>
          <w:rFonts w:ascii="Times New Roman;sans-serif" w:hAnsi="Times New Roman;sans-serif"/>
          <w:b w:val="false"/>
          <w:color w:val="231F20"/>
          <w:sz w:val="20"/>
        </w:rPr>
        <w:t>, successfully and on a timely basis;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additional regulatory and marketing approvals for FYARRO for additional indications;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establishing and maintaining relationships with contract research organizations (“CROs”) and clinical sites for the clinical development of </w:t>
      </w:r>
      <w:r>
        <w:rPr>
          <w:rFonts w:ascii="Times New Roman;sans-serif" w:hAnsi="Times New Roman;sans-serif"/>
          <w:b w:val="false"/>
          <w:color w:val="000000"/>
          <w:sz w:val="20"/>
        </w:rPr>
        <w:t>FYARRO in other indications</w:t>
      </w:r>
      <w:r>
        <w:rPr>
          <w:color w:val="231F20"/>
        </w:rPr>
        <w:t xml:space="preserve"> </w:t>
      </w:r>
      <w:r>
        <w:rPr>
          <w:rFonts w:ascii="Times New Roman;sans-serif" w:hAnsi="Times New Roman;sans-serif"/>
          <w:b w:val="false"/>
          <w:color w:val="231F20"/>
          <w:sz w:val="20"/>
        </w:rPr>
        <w:t>and any other future product candidates that we may develop;</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timely receipt of regulatory approvals from applicable regulatory authorities for any product candidates for which we successfully complete clinical development;</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developing or contracting for an efficient and scalable manufacturing process for future product candidates, including obtaining finished products that are appropriately packaged for sale;</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negotiating and maintaining an adequate price for our product or any future product candidates, both in the United States and in foreign countries where our products are commercialized;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a continued acceptable safety profile following any regulatory approval of product candidates;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commercial acceptance of product candidates by patients, the medical community and third-party payors;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obtaining coverage and adequate reimbursement by third-party payors for product candidates; </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satisfying any required post-regulatory approval commitments to applicable regulatory authorities;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identifying, assessing and developing new product candidates;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maintaining and expanding patent protection, trade secret protection and regulatory exclusivity, both in the United States and internationally;</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protecting our rights in our intellectual property portfolio;</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defending against third-party interference or infringement claims, if any;</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entering into and maintaining, on favorable terms, any collaboration, licensing or other arrangements that may be necessary or desirable to develop, manufacture or commercialize our product and any future product candidates;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addressing any competing therapies and technological and market developments and attracting, hiring and retaining qualified personnel.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spacing w:lineRule="auto" w:line="288" w:before="120" w:after="120"/>
        <w:jc w:val="both"/>
        <w:rPr/>
      </w:pPr>
      <w:r>
        <w:rPr>
          <w:rFonts w:ascii="Times New Roman;sans-serif" w:hAnsi="Times New Roman;sans-serif"/>
          <w:b w:val="false"/>
          <w:color w:val="231F2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Times New Roman;sans-serif" w:hAnsi="Times New Roman;sans-serif"/>
          <w:b w:val="false"/>
          <w:color w:val="000000"/>
          <w:sz w:val="20"/>
        </w:rPr>
        <w:t>FYARRO for its approved indication (PEComa)</w:t>
      </w:r>
      <w:r>
        <w:rPr>
          <w:rFonts w:ascii="Times New Roman;sans-serif" w:hAnsi="Times New Roman;sans-serif"/>
          <w:b w:val="false"/>
          <w:color w:val="231F20"/>
          <w:sz w:val="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any of other product candidates, including additional indications for </w:t>
      </w:r>
      <w:r>
        <w:rPr>
          <w:rFonts w:ascii="Times New Roman;sans-serif" w:hAnsi="Times New Roman;sans-serif"/>
          <w:b w:val="false"/>
          <w:color w:val="000000"/>
          <w:sz w:val="20"/>
        </w:rPr>
        <w:t>FYARRO</w:t>
      </w:r>
      <w:r>
        <w:rPr>
          <w:rFonts w:ascii="Times New Roman;sans-serif" w:hAnsi="Times New Roman;sans-serif"/>
          <w:b w:val="false"/>
          <w:color w:val="231F20"/>
          <w:sz w:val="20"/>
        </w:rPr>
        <w:t xml:space="preserve">, we expect to incur significant commercialization expenses related to sales, marketing, manufacturing and distribution activities and ongoing compliance activities. We cannot reasonably estimate the actual amount of resources and funding that will be necessary to successfully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or complete the development and, if approved, commercialize FYARRO for any other additional indications, or any other product candidates or other indications we may develop. Upon receiving regulatory approval for FYARRO from the FDA in November 2021, we are only permitted to market or promote </w:t>
      </w:r>
      <w:r>
        <w:rPr>
          <w:rFonts w:ascii="Times New Roman;sans-serif" w:hAnsi="Times New Roman;sans-serif"/>
          <w:b w:val="false"/>
          <w:color w:val="000000"/>
          <w:sz w:val="20"/>
        </w:rPr>
        <w:t>FYARRO for the advanced malignant PEComa indication</w:t>
      </w:r>
      <w:r>
        <w:rPr>
          <w:rFonts w:ascii="Times New Roman;sans-serif" w:hAnsi="Times New Roman;sans-serif"/>
          <w:b w:val="false"/>
          <w:color w:val="231F20"/>
          <w:sz w:val="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March 31, 2023, we had $151.2 million in cash, cash equivalents and short-term investments. Based on our current operating plan, we believe that our cash, cash equivalents and short-term investments will enable us to fund our planned operating expenses and capital expenditures into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spacing w:lineRule="auto" w:line="288" w:before="120" w:after="120"/>
        <w:jc w:val="both"/>
        <w:rPr/>
      </w:pPr>
      <w:r>
        <w:rPr>
          <w:rFonts w:ascii="Times New Roman;sans-serif" w:hAnsi="Times New Roman;sans-serif"/>
          <w:b w:val="false"/>
          <w:color w:val="231F20"/>
          <w:sz w:val="20"/>
        </w:rPr>
        <w:t xml:space="preserve">We plan to use our cash, cash equivalents and short-term investments to fund the commercialization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ongoing and planned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other indications such as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indications, for manufacturing operations and to fund our other research for other product candidates and development activities, as well as for working capital and other general corporate purposes. Advancing the development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and any future product candidate will require a significant amount of capital. Our existing cash, cash equivalents and short-term investments will not be sufficient to fund all of the activities that are necessary to complete the development of </w:t>
      </w:r>
      <w:r>
        <w:rPr>
          <w:rFonts w:ascii="Times New Roman;sans-serif" w:hAnsi="Times New Roman;sans-serif"/>
          <w:b w:val="false"/>
          <w:color w:val="000000"/>
          <w:sz w:val="20"/>
        </w:rPr>
        <w:t>FYARRO and any future product candidates</w:t>
      </w:r>
      <w:r>
        <w:rPr>
          <w:rFonts w:ascii="Times New Roman;sans-serif" w:hAnsi="Times New Roman;sans-serif"/>
          <w:b w:val="false"/>
          <w:color w:val="231F20"/>
          <w:sz w:val="20"/>
        </w:rPr>
        <w: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19 pandemic, the conflicts in Eastern Europe, and otherwise. In addition, we may seek additional capital due to favorable market conditions or strategic considerations even if we believe we have sufficient funds for our current or future operating plans.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failure to raise capital as and when needed or on acceptable terms would have a negative impact on our financial condition and our ability to pursue our business strategy, and we may have to significantly delay, reduce the scope of,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231F20"/>
          <w:sz w:val="20"/>
        </w:rPr>
        <w:t>suspend or eliminate one or more of our research or development programs, clinical trials or future commercialization efforts</w:t>
      </w:r>
      <w:r>
        <w:rPr>
          <w:rFonts w:ascii="Times New Roman;sans-serif" w:hAnsi="Times New Roman;sans-serif"/>
          <w:b w:val="false"/>
          <w:color w:val="231F20"/>
          <w:sz w:val="24"/>
        </w:rPr>
        <w:t>.</w:t>
      </w:r>
    </w:p>
    <w:p>
      <w:pPr>
        <w:pStyle w:val="TextBody"/>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the Discovery, Development and Commercialization of Our Product Candidates</w:t>
      </w:r>
    </w:p>
    <w:p>
      <w:pPr>
        <w:pStyle w:val="TextBody"/>
        <w:spacing w:lineRule="auto" w:line="288" w:before="120" w:after="120"/>
        <w:jc w:val="both"/>
        <w:rPr/>
      </w:pPr>
      <w:r>
        <w:rPr>
          <w:rFonts w:ascii="Times New Roman;sans-serif" w:hAnsi="Times New Roman;sans-serif"/>
          <w:b/>
          <w:i/>
          <w:color w:val="231F20"/>
          <w:sz w:val="20"/>
        </w:rPr>
        <w:t xml:space="preserve">We have only one product, FYARRO, which has completed development and obtained regulatory approval by the FDA for a single indication. We are substantially dependent on the success of </w:t>
      </w:r>
      <w:r>
        <w:rPr>
          <w:rFonts w:ascii="Times New Roman;sans-serif" w:hAnsi="Times New Roman;sans-serif"/>
          <w:b/>
          <w:i/>
          <w:color w:val="000000"/>
          <w:sz w:val="20"/>
        </w:rPr>
        <w:t>FYARRO</w:t>
      </w:r>
      <w:r>
        <w:rPr>
          <w:rFonts w:ascii="Times New Roman;sans-serif" w:hAnsi="Times New Roman;sans-serif"/>
          <w:b/>
          <w:i/>
          <w:color w:val="231F20"/>
          <w:sz w:val="20"/>
        </w:rPr>
        <w:t xml:space="preserve">. If we are unable to successfully commercialize </w:t>
      </w:r>
      <w:r>
        <w:rPr>
          <w:rFonts w:ascii="Times New Roman;sans-serif" w:hAnsi="Times New Roman;sans-serif"/>
          <w:b/>
          <w:i/>
          <w:color w:val="000000"/>
          <w:sz w:val="20"/>
        </w:rPr>
        <w:t>FYARRO for the advanced malignant PEComa indication or complete development of, obtain approval for and commercialize FYARRO</w:t>
      </w:r>
      <w:r>
        <w:rPr>
          <w:color w:val="231F20"/>
        </w:rPr>
        <w:t xml:space="preserve"> </w:t>
      </w:r>
      <w:r>
        <w:rPr>
          <w:rFonts w:ascii="Times New Roman;sans-serif" w:hAnsi="Times New Roman;sans-serif"/>
          <w:b/>
          <w:i/>
          <w:color w:val="231F20"/>
          <w:sz w:val="20"/>
        </w:rPr>
        <w:t>for one or more other indications in a timely manner, our business will be harmed.</w:t>
      </w:r>
    </w:p>
    <w:p>
      <w:pPr>
        <w:pStyle w:val="TextBody"/>
        <w:spacing w:lineRule="auto" w:line="288" w:before="120" w:after="120"/>
        <w:jc w:val="both"/>
        <w:rPr/>
      </w:pPr>
      <w:r>
        <w:rPr>
          <w:rFonts w:ascii="Times New Roman;sans-serif" w:hAnsi="Times New Roman;sans-serif"/>
          <w:b w:val="false"/>
          <w:color w:val="231F20"/>
          <w:sz w:val="20"/>
        </w:rPr>
        <w:t xml:space="preserve">We have only one commercial product that has launched, completed development and been approved by the FDA, FYARRO, our lead product. Our future success is dependent on our ability to successfully commercialize FYARRO, and to timely and successfully obtain regulatory approval for additional indications for FYARRO. We are investing the majority of our efforts and financial resources to commercialize FYARRO for the </w:t>
      </w:r>
      <w:r>
        <w:rPr>
          <w:rFonts w:ascii="Times New Roman;sans-serif" w:hAnsi="Times New Roman;sans-serif"/>
          <w:b w:val="false"/>
          <w:color w:val="000000"/>
          <w:sz w:val="20"/>
        </w:rPr>
        <w:t>advanced malignant</w:t>
      </w:r>
      <w:r>
        <w:rPr>
          <w:color w:val="231F20"/>
        </w:rPr>
        <w:t xml:space="preserve"> </w:t>
      </w:r>
      <w:r>
        <w:rPr>
          <w:rFonts w:ascii="Times New Roman;sans-serif" w:hAnsi="Times New Roman;sans-serif"/>
          <w:b w:val="false"/>
          <w:color w:val="231F20"/>
          <w:sz w:val="20"/>
        </w:rPr>
        <w:t xml:space="preserve">PEComa indication and in the research and development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multiple additional indications.</w:t>
      </w:r>
    </w:p>
    <w:p>
      <w:pPr>
        <w:pStyle w:val="TextBody"/>
        <w:spacing w:lineRule="auto" w:line="288" w:before="120" w:after="120"/>
        <w:jc w:val="both"/>
        <w:rPr/>
      </w:pPr>
      <w:r>
        <w:rPr>
          <w:rFonts w:ascii="Times New Roman;sans-serif" w:hAnsi="Times New Roman;sans-serif"/>
          <w:b w:val="false"/>
          <w:color w:val="231F20"/>
          <w:sz w:val="20"/>
        </w:rPr>
        <w:t xml:space="preserve">In May 2021, we completed the filing of a rolling NDA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FDA for approval to treat patients with advanced malignant PEComa, and the FDA accepted our NDA in July 2021 and approved FYARRO for advanced malignant PEComa in November 2021. Our NDA was based on results from our AMPECT trial, involving patients for whom there were no approved therapies in the United States.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will require additional clinical development, expansion of manufacturing capabilities, regulatory approval from foreign regulatory authorities in jurisdictions outside of the United States where we plan to market </w:t>
      </w:r>
      <w:r>
        <w:rPr>
          <w:rFonts w:ascii="Times New Roman;sans-serif" w:hAnsi="Times New Roman;sans-serif"/>
          <w:b w:val="false"/>
          <w:color w:val="000000"/>
          <w:sz w:val="20"/>
        </w:rPr>
        <w:t>FYARRO for advanced malignant PEComa and potentially in additional indications</w:t>
      </w:r>
      <w:r>
        <w:rPr>
          <w:rFonts w:ascii="Times New Roman;sans-serif" w:hAnsi="Times New Roman;sans-serif"/>
          <w:b w:val="false"/>
          <w:color w:val="231F20"/>
          <w:sz w:val="20"/>
        </w:rPr>
        <w:t xml:space="preserve">, if approved, substantial investment and significant marketing efforts before we can generate any revenues from product sales. We are not permitted to market or promote </w:t>
      </w:r>
      <w:r>
        <w:rPr>
          <w:rFonts w:ascii="Times New Roman;sans-serif" w:hAnsi="Times New Roman;sans-serif"/>
          <w:b w:val="false"/>
          <w:color w:val="000000"/>
          <w:sz w:val="20"/>
        </w:rPr>
        <w:t>FYARRO for non-PEComa indications</w:t>
      </w:r>
      <w:r>
        <w:rPr>
          <w:rFonts w:ascii="Times New Roman;sans-serif" w:hAnsi="Times New Roman;sans-serif"/>
          <w:b w:val="false"/>
          <w:color w:val="231F20"/>
          <w:sz w:val="20"/>
        </w:rPr>
        <w:t>, before we receive regulatory approval from the FDA and comparable foreign regulatory authorities, and we may never receive such regulatory approvals.</w:t>
      </w:r>
    </w:p>
    <w:p>
      <w:pPr>
        <w:pStyle w:val="TextBody"/>
        <w:spacing w:lineRule="auto" w:line="288" w:before="120" w:after="120"/>
        <w:jc w:val="both"/>
        <w:rPr/>
      </w:pPr>
      <w:r>
        <w:rPr>
          <w:rFonts w:ascii="Times New Roman;sans-serif" w:hAnsi="Times New Roman;sans-serif"/>
          <w:b w:val="false"/>
          <w:color w:val="231F20"/>
          <w:sz w:val="20"/>
        </w:rPr>
        <w:t xml:space="preserve">The success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will depend on several factors, including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efficacy and safety of FYARRO in a larger number of patients in a non-clinical trial setting that those demonstrated in our clinical trials;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effectiveness of our sales, marketing and distribution efforts;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maintenance of existing or the establishment of new supply arrangements with third-party drug product suppliers and manufacturers for sufficient commercial supplies and additional clinical development of FYARRO;</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success of our commercial sales, including the ongoing development of a commercial infrastructure, whether in-house or with one or more collaborators;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timely receipt of regulatory approval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from applicable foreign regulatory authorities for advanced malignant PEComa;</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successful </w:t>
      </w:r>
      <w:r>
        <w:rPr>
          <w:rFonts w:ascii="Times New Roman;sans-serif" w:hAnsi="Times New Roman;sans-serif"/>
          <w:b w:val="false"/>
          <w:color w:val="231F20"/>
          <w:sz w:val="20"/>
        </w:rPr>
        <w:t>completion of any clinical trials, regulatory approval and commercialization of FYARRO for one or more label expansion indications;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extent of any required post-regulatory approval commitments to applicable regulatory authorities;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medical professionals to prescribe and patients to use FYARRO and continue to use FYARRO;</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coverage and adequate reimbursement and pricing by private and government payors;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prevalence and severity of adverse side effects;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convenience of prescribing, administrating and initiating patients on FYARRO;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potential and perceived value and relative cost of FYARRO;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successful and timely completion of the required preclinical studies and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current and future indications;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INDs going into effect with the FDA for our planned and future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initiation and successful patient enrollment and completion of additional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on a timely basis, including our PRECISION 1 trial, a registration-directed tumor-agnostic Phase 2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patients with truncating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alterations;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maintaining and establishing relationships with CROs and clinical sites for the development of FYARRO both in the United States and internationally;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type, frequency and severity of adverse events in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 continued acceptable safety profile following our current and future regulatory approval;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compete with other therapies.</w:t>
      </w:r>
    </w:p>
    <w:p>
      <w:pPr>
        <w:pStyle w:val="TextBody"/>
        <w:spacing w:lineRule="auto" w:line="288" w:before="120" w:after="120"/>
        <w:jc w:val="both"/>
        <w:rPr/>
      </w:pPr>
      <w:r>
        <w:rPr>
          <w:rFonts w:ascii="Times New Roman;sans-serif" w:hAnsi="Times New Roman;sans-serif"/>
          <w:b w:val="false"/>
          <w:color w:val="231F20"/>
          <w:sz w:val="20"/>
        </w:rPr>
        <w:t xml:space="preserve">In addition to advanced malignant PEComa, based on exploratory data from the completed AMPECT and our Expanded Access Program for FYARRO, we have initiated a registration-directed tumor-agnostic Phase 2 study, PRECISION 1,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patients with malignant solid tumors harboring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alterations. We completed a Type B meeting with the FDA in which we discussed the trial design. The PRECISION 1 trial is now open for enrollment in the United States and the first patient in the trial was dosed in March 2022. Our product development costs could increase if we experience delays. Significant trial delays also could shorten any periods during which we may have the exclusive right to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or allow our competitors to bring products to market before we do, which would impair our ability to successfully capitalize on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and may harm our business, results of operations and prospects. Events that may result in a delay or unsuccessful completion of additional clinical development of FYARRO include, among other things:</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unexpectedly high rate of patients withdrawing consent or being lost to follow-up;</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feedback from the FDA and foreign regulatory authorities, institutional review boards (“IRBs”), or a data safety monitoring board, or results from clinical trials that might require modification to a clinical trial protocol;</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deviations from the trial protocol by clinical trial sites and investigators or failure to conduct the trial in accordance with regulatory requirements;</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of third parties, such as CROs, to satisfy their contractual duties or meet expected deadlines;</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in the testing, validation, manufacturing and delivery of FYARRO to customers or the clinical trial sites;</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caused by patients dropping out of a trial due to side effects, disease progression or other reasons;</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unacceptable risk-benefit profile or unforeseen safety issues or adverse drug reactions;</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to demonstrate the efficacy of FYARRO in this clinical trial;</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changes in government regulations or administrative actions or lack of adequate funding to continue the trials; or</w:t>
      </w:r>
    </w:p>
    <w:p>
      <w:pPr>
        <w:pStyle w:val="TextBody"/>
        <w:spacing w:lineRule="auto" w:line="288" w:before="120" w:after="120"/>
        <w:ind w:left="0" w:right="0" w:hanging="720"/>
        <w:jc w:val="both"/>
        <w:rPr/>
      </w:pPr>
      <w:r>
        <w:rPr>
          <w:color w:val="231F20"/>
        </w:rPr>
        <w:t>•</w:t>
      </w:r>
      <w:r>
        <w:rPr>
          <w:rFonts w:ascii="Times New Roman;sans-serif" w:hAnsi="Times New Roman;sans-serif"/>
          <w:b w:val="false"/>
          <w:color w:val="231F20"/>
          <w:sz w:val="20"/>
        </w:rPr>
        <w:t>business interruptions resulting from geo-political actions, including war and terrorism, such as the Russia-Ukraine conflict, or natural disasters and public health epidemics, such as the COVID-19 pandemic.</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FYARRO for multiple indications, which would materially harm our business. If we do not receive regulatory approvals for FYARRO in additional indications or for other product candidates, we may not be able to continue our operations.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addition to FYARRO, our prospects depend in part upon discovering, developing and commercializing additional product candidates, which may fail in development or suffer delays that adversely affect their commercial viability.</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operating results are dependent on our ability to successfully discover, develop, obtain regulatory approval for and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success of other product candidates we may develop will depend on many factors, including the following:</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preclinical data to support the initiation of clinical trials;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regulatory permission to initiate clinical trials;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contracting with the necessary parties to conduct preclinical studies and clinical trials;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successful enrollment of patients in, and the completion of, clinical trials on a timely basis;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timely manufacture of sufficient quantities of a product candidate for use in clinical trials;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safety and efficacy data to warrant continued development and which are satisfactory to the FDA or any other regulatory authority for marketing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clinical indications for which a product candidate is approved;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and perceived advantages of our product candidates over alternative treatments;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availability of coverage and adequate reimbursement by third-party payors, including government authorities or the willingness of patients to pay out-of-pocket in the absence of third-party payor coverage;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an approved product candidate for use as a combination therapy;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prevalence and severity of any adverse effects associated with any approved product candidate;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any restrictions on the use of our product candidates together with other medications;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unfavorable publicity relating to our product candidates;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approval of other new therapies for the same indications.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our product candidates, in addition to treating target indications, also provide incremental health benefits to patients. Our efforts to educate the medical community and third-party payors about the benefits of our product candidates may require significant resources and may never be successful.</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FYARRO and any other product candidates we may develop in the future, if approved, may be limited to certain smaller patient subsets.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significant market share for any approved product, if the potential target populations are small, we may never achieve profitability without obtaining regulatory approval for additional indications.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Any product candidates we develop may become subject to unfavorable third-party coverage and reimbursement practices, as well as pricing regulations.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Moreover, FYARRO or any other product candidate we may develop in the future may not be considered medically necessary or cost effective. We cannot be sure that coverage and reimbursement will be available for FYARRO or any other product that we may commercialize and, if reimbursement is available, what the level of reimbursement will be.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Coverage policies and third-party payor reimbursement rates may change at any time. It is unclear what effect these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less favorable coverage policies and reimbursement rates may be implemented in the future.</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obtain FDA approval of any future NDA for FYARRO or any other product candidates we may develop in the future.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Failure to obtain marketing approval in international jurisdictions would prevent FYARRO and any other product candidates we may develop in the future from being marketed abroad.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marketing FYARRO and any other product candidates we may develop in the future internationally could affect our business.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differing regulatory requirements in foreign countries;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unexpected changes in tariffs, trade barriers, price and exchange controls and other regulatory requirements;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economic weakness, including inflation, or political instability in particular foreign economies and markets;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compliance with tax, employment, immigration and labor laws for employees living or traveling abroad;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taxes, including withholding of payroll taxes;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currency fluctuations, which could result in increased operating expenses and reduced revenue, and other obligations incident to doing business in another country;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difficulties staffing and managing foreign operations;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workforce uncertainty in countries where labor unrest is more common than in the United States;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potential liability under the United States Foreign Corrupt Practices Act (“FCPA”) or comparable foreign regulations;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conflict between Russia and Ukraine has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compromise our ability to achieve or maintain profitability.</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Before obtaining regulatory approval from the EMA or other foreign regulatory authorities for the sale of FYARRO for advanced malignant PEComa or any additional indications that we may seek approval for, or other product candidates when approved,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receipt of feedback from regulatory authorities that require us to modify the design of our clinical trials;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negative or inconclusive clinical trial results that may require us to conduct additional clinical trials or abandon certain drug development programs;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clinical trial sites or our CRO failing to comply with regulatory requirements or meet their contractual obligations to us in a timely manner, or at all;</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the suspension or termination of our clinical trials for various reasons, including non-compliance with regulatory requirements or a finding that our product candidates have undesirable side effects or other unexpected characteristics; </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cost of clinical trials of our product candidates being greater than anticipated;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supply or quality of our product candidates or other materials necessary to conduct clinical trials of</w:t>
      </w:r>
      <w:r>
        <w:rPr>
          <w:color w:val="000000"/>
        </w:rPr>
        <w:t xml:space="preserve"> </w:t>
      </w:r>
      <w:r>
        <w:rPr>
          <w:rFonts w:ascii="Times New Roman;sans-serif" w:hAnsi="Times New Roman;sans-serif"/>
          <w:b w:val="false"/>
          <w:color w:val="231F20"/>
          <w:sz w:val="20"/>
        </w:rPr>
        <w:t>our product candidates being insufficient or inadequate;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delays due to health epidemics, such as the COVID-19 pandemic, including starting any clinical trials for other indications or programs.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our product beyond those that we currently contemplate, if we are unable to successfully complete clinical trials of our product or other testing in a timely manner, if the results of these trials or tests are not positive or are only modestly positive or if there are safety concerns, we may (i) incur unplanned costs, (ii) be delayed in seeking and obtaining regulatory approval for respective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of our product candidates, which may also limit their commercial potential.</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product(s) and significantly impact our ability to successfully commercialize our product(s)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FYARRO included thrombocytopenia, diarrhea, fatigue, mucosal inflammation, nausea, anemia, and rash. Additionally, in our first- in-human study of FYARRO in solid tumors, one patient died of dyspnea which was deemed possibly related to FYARRO.</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Patients in our completed and planned clinical trials may in the future suffer other significant adverse events or other side effects not observed or anticipated based on our preclinical studies or previous clinical trials. FYARRO or other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pStyle w:val="TextBody"/>
        <w:spacing w:lineRule="auto" w:line="288" w:before="120" w:after="120"/>
        <w:jc w:val="both"/>
        <w:rPr/>
      </w:pPr>
      <w:r>
        <w:rPr>
          <w:rFonts w:ascii="Times New Roman;sans-serif" w:hAnsi="Times New Roman;sans-serif"/>
          <w:b w:val="false"/>
          <w:color w:val="000000"/>
          <w:sz w:val="20"/>
        </w:rPr>
        <w:t xml:space="preserve">Further, for FYARRO for advanced malignant PEComa, or if FYARRO receives regulatory approval for any other indication, or if any other product candidate that we may develop in the future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sans-serif" w:hAnsi="Times New Roman;sans-serif"/>
          <w:b w:val="false"/>
          <w:color w:val="231F20"/>
          <w:sz w:val="20"/>
        </w:rPr>
        <w:t>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our product candidates will cause toxicities in humans that would preclude or lead to the revocation of regulatory approval based on preclinical studies or early-stage clinical trials.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open-label clinical trials.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and commercialize, FYARRO in other indications or any other product candidates that we may develop in the future may be harmed, which could harm our business, financial condition,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Adverse results of clinical trials conducted by third parties investigating the same product candidates as us in different territories could adversely affect our development of such product candidate.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further development of FYARRO.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experience delays or difficulties in the enrollment and/or maintenance of patients in clinical trials, our regulatory submissions or receipt of necessary regulatory approvals could be delayed or prevented.</w:t>
      </w:r>
    </w:p>
    <w:p>
      <w:pPr>
        <w:pStyle w:val="TextBody"/>
        <w:spacing w:lineRule="auto" w:line="288" w:before="120" w:after="120"/>
        <w:jc w:val="both"/>
        <w:rPr/>
      </w:pPr>
      <w:r>
        <w:rPr>
          <w:rFonts w:ascii="Times New Roman;sans-serif" w:hAnsi="Times New Roman;sans-serif"/>
          <w:b w:val="false"/>
          <w:color w:val="231F20"/>
          <w:sz w:val="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study are screened using genomic information to identify alterations in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size and nature of the patient population;</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severity of the disease under investigation;</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availability and efficacy of approved drugs for the disease under investigation;</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eligibility criteria for the trial in question as defined in the protocol or as mandated by regulatory agencies;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perceived risks and benefits of the product candidate under study;</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recruit clinical study investigators with the appropriate competencies and experience;</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willingness to screen their patients for biomarkers to indicate which patients may be eligible for enrollment in our clinical trials;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referral practices of physicians;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obtain and maintain patient consents;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monitor patients adequately during and after treatment;</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proximity and availability of clinical trial sites for prospective patients;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factors we may not be able to control, such as current or potential pandemics that may limit patients, principal investigators or staff or clinical site availability (e.g., the COVID-19 pandemic).</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expect to develop FYARRO and potentially other product candidates in combination with other therapies, which exposes us to additional risks.</w:t>
      </w:r>
    </w:p>
    <w:p>
      <w:pPr>
        <w:pStyle w:val="TextBody"/>
        <w:spacing w:lineRule="auto" w:line="288" w:before="120" w:after="120"/>
        <w:jc w:val="both"/>
        <w:rPr/>
      </w:pPr>
      <w:r>
        <w:rPr>
          <w:rFonts w:ascii="Times New Roman;sans-serif" w:hAnsi="Times New Roman;sans-serif"/>
          <w:b w:val="false"/>
          <w:color w:val="231F20"/>
          <w:sz w:val="20"/>
        </w:rPr>
        <w:t>We intend to develop FYARRO and potentially othe</w:t>
      </w:r>
      <w:r>
        <w:rPr>
          <w:rFonts w:ascii="Times New Roman;sans-serif" w:hAnsi="Times New Roman;sans-serif"/>
          <w:b w:val="false"/>
          <w:color w:val="000000"/>
          <w:sz w:val="20"/>
        </w:rPr>
        <w:t>r product candidates, in combination with one or more currently approved or unapproved therapies to treat cancer or other diseases. For example, in October 2022 we entered into a collaboration and supply agreement with Mirati to evaluate the combination of Mirati’s adagrasib (KRAZATI™),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mutant non-small cell lung cancer (NSCLC) and other solid tumors. Patients may not be able to tolerate FYARRO or any of our future product candidates in combination with other therapies or dosing of FYARRO in combination with other therapies may have unexpected consequences. Even though FYARRO has received FDA approval for advanced malignant PEComa, and even if FYARRO receives regulatory approval for additional indications,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 candidates, or safety, efficacy, manufacturing or supply issues could arise with these e</w:t>
      </w:r>
      <w:r>
        <w:rPr>
          <w:rFonts w:ascii="Times New Roman;sans-serif" w:hAnsi="Times New Roman;sans-serif"/>
          <w:b w:val="false"/>
          <w:color w:val="231F20"/>
          <w:sz w:val="20"/>
        </w:rPr>
        <w:t>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evaluate future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any one or all of the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currently focusing our resources and efforts on developing and commercializing FYARRO for particular indications.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spacing w:lineRule="auto" w:line="288" w:before="120" w:after="120"/>
        <w:jc w:val="both"/>
        <w:rPr/>
      </w:pPr>
      <w:r>
        <w:rPr>
          <w:rFonts w:ascii="Times New Roman;sans-serif" w:hAnsi="Times New Roman;sans-serif"/>
          <w:b w:val="false"/>
          <w:color w:val="231F20"/>
          <w:sz w:val="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truncating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inactivating alterations, there are no existing FDA or EMA approved products indicated for such use. If FYARRO receives additional regulatory approval for these </w:t>
      </w:r>
      <w:r>
        <w:rPr>
          <w:rFonts w:ascii="Times New Roman;sans-serif" w:hAnsi="Times New Roman;sans-serif"/>
          <w:b w:val="false"/>
          <w:i/>
          <w:color w:val="231F20"/>
          <w:sz w:val="20"/>
        </w:rPr>
        <w:t xml:space="preserve">TSC1 &amp; TSC2 </w:t>
      </w:r>
      <w:r>
        <w:rPr>
          <w:rFonts w:ascii="Times New Roman;sans-serif" w:hAnsi="Times New Roman;sans-serif"/>
          <w:b w:val="false"/>
          <w:color w:val="231F20"/>
          <w:sz w:val="20"/>
        </w:rPr>
        <w:t xml:space="preserve">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of all of these factors, our competitors may succeed in obtaining approval from the FDA, EMA or other comparable foreign regulatory authorities or in discovering, developing and commercializing products in the field before us.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methods of product candidate manufacturing or formulation may result in additional costs or delay.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growing our product pipeline through acquisitions and in-licenses.</w:t>
      </w:r>
    </w:p>
    <w:p>
      <w:pPr>
        <w:pStyle w:val="TextBody"/>
        <w:spacing w:lineRule="auto" w:line="288" w:before="120" w:after="120"/>
        <w:jc w:val="both"/>
        <w:rPr/>
      </w:pPr>
      <w:r>
        <w:rPr>
          <w:rFonts w:ascii="Times New Roman;sans-serif" w:hAnsi="Times New Roman;sans-serif"/>
          <w:b w:val="false"/>
          <w:color w:val="231F20"/>
          <w:sz w:val="20"/>
        </w:rPr>
        <w:t>We believe that accessing external innovation and expertise is important to our success; and while we plan to leverage our leadership team’s prior business development experience as we evaluate potential</w:t>
      </w:r>
      <w:r>
        <w:rPr>
          <w:color w:val="000000"/>
        </w:rPr>
        <w:t xml:space="preserve"> </w:t>
      </w:r>
      <w:r>
        <w:rPr>
          <w:rFonts w:ascii="Times New Roman;sans-serif" w:hAnsi="Times New Roman;sans-serif"/>
          <w:b w:val="false"/>
          <w:color w:val="231F20"/>
          <w:sz w:val="20"/>
        </w:rPr>
        <w:t>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entails a significant risk of product liability and if we are unable to obtain sufficient insurance coverage such inability could have a material adverse effect on our business and financial condition.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recent global COVID-19 outbreak has affected and is expected to continue to affect our business and operations.</w:t>
      </w:r>
    </w:p>
    <w:p>
      <w:pPr>
        <w:pStyle w:val="TextBody"/>
        <w:spacing w:lineRule="auto" w:line="288" w:before="120" w:after="120"/>
        <w:jc w:val="both"/>
        <w:rPr/>
      </w:pPr>
      <w:r>
        <w:rPr>
          <w:rFonts w:ascii="Times New Roman;sans-serif" w:hAnsi="Times New Roman;sans-serif"/>
          <w:b w:val="false"/>
          <w:color w:val="231F20"/>
          <w:sz w:val="20"/>
        </w:rPr>
        <w:t>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For example, we have experienced, and continue to experience, some clinical development disruptions due to the pandemic, including closures at certain lab facilities, which have led, and continue to lead, to longer than anticipated clinical development times.</w:t>
      </w:r>
      <w:r>
        <w:rPr>
          <w:color w:val="000000"/>
        </w:rPr>
        <w:t xml:space="preserve"> </w:t>
      </w:r>
      <w:r>
        <w:rPr>
          <w:rFonts w:ascii="Times New Roman;sans-serif" w:hAnsi="Times New Roman;sans-serif"/>
          <w:b w:val="false"/>
          <w:color w:val="000000"/>
          <w:sz w:val="20"/>
        </w:rPr>
        <w:t xml:space="preserve">In addition, our clinical trials have been, and may continue to be, affected by the closure of offices, or country borders. Constraints surrounding hospital resources, infrastructure, staff and other resources, can also make it more difficult to enroll new patients in ongoing or planned clinical trials.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evolving COVID-19 pandemic, we have experienced and expect to continue to experience disruptions that could severely impact our business, preclinical studies and clinical trials, including:</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continued delays or difficulties in enrolling and retaining and adequate number of patients in our clinical trials;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continued delays or difficulties in clinical site initiation, including difficulties in recruiting clinical site investigators and clinical site staff;</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delays in receiving authorizations from regulatory authorities to initiate our planned clinical trials;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risk that participants enrolled in our clinical trials will contract COVID-19 while the clinical trial is ongoing, which could impact the results of the clinical trial, including by increasing the number of observed adverse events;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or delays in the operations of the FDA or other regulatory authorities, which may impact review and approval timelines;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interruptions in preclinical studies due to restricted or limited operations at our laboratory facility;</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changes in local regulations as part of a response to the COVID-19 pandemic, which may require changes in the ways in which our clinical trials are conducted, which may result in unexpected costs, or to discontinue such clinical trials altogether;</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or delays to our sourced discovery and clinical activities; and</w:t>
      </w:r>
    </w:p>
    <w:p>
      <w:pPr>
        <w:pStyle w:val="TextBody"/>
        <w:spacing w:lineRule="auto" w:line="288" w:before="120" w:after="120"/>
        <w:ind w:left="0" w:right="0" w:hanging="270"/>
        <w:jc w:val="both"/>
        <w:rPr/>
      </w:pPr>
      <w:r>
        <w:rPr>
          <w:color w:val="000000"/>
        </w:rPr>
        <w:t>•</w:t>
      </w:r>
      <w:r>
        <w:rPr>
          <w:rFonts w:ascii="Times New Roman;sans-serif" w:hAnsi="Times New Roman;sans-serif"/>
          <w:b w:val="false"/>
          <w:color w:val="000000"/>
          <w:sz w:val="20"/>
        </w:rPr>
        <w:t xml:space="preserve">refusal of the FDA to accept data from clinical </w:t>
      </w:r>
      <w:r>
        <w:rPr>
          <w:rFonts w:ascii="Times New Roman;sans-serif" w:hAnsi="Times New Roman;sans-serif"/>
          <w:b w:val="false"/>
          <w:color w:val="231F20"/>
          <w:sz w:val="20"/>
        </w:rPr>
        <w:t>trials in affected geographies outside the United States.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extent of the impact of the COVID-19 pandemic on our future liquidity and operational performance will depend on certain developments, including the duration and spread of further outbreaks, the availability, acceptance and effectiveness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231F20"/>
          <w:sz w:val="20"/>
        </w:rPr>
        <w:t>of vaccines, the impact on our clinical trials, patients, and collaboration partners, and the effect on</w:t>
      </w:r>
      <w:r>
        <w:rPr>
          <w:color w:val="000000"/>
        </w:rPr>
        <w:t xml:space="preserve"> </w:t>
      </w:r>
      <w:r>
        <w:rPr>
          <w:rFonts w:ascii="Times New Roman;sans-serif" w:hAnsi="Times New Roman;sans-serif"/>
          <w:b w:val="false"/>
          <w:color w:val="231F20"/>
          <w:sz w:val="20"/>
        </w:rPr>
        <w:t>our suppliers. In April 2023, President Biden signed legislation that will end the COVID-19 national emergency on May 11, 2023. The full impact of this termination of the national emergency and the wind-down of the public health emergency on FDA and other regulatory policies and operations are unclear.</w:t>
      </w:r>
    </w:p>
    <w:p>
      <w:pPr>
        <w:pStyle w:val="TextBody"/>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Regulatory Approval and Other Legal Compliance Matters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unable to obtain United States approval for FYARRO for additional indications or other product candidates that we may develop in the future or foreign regulatory approval for FYARRO or such product candidates that we may develop in the future and, as a result, may be unable to commercialize FYARRO or other product candidates and our business will be substantially harmed.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to work through its backlog of foreign inspections.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regulatory approval may be delayed for reasons beyond our control. For example, a United States federal government shutdown or budget sequestration, such as ones that occurred during 2013, 2018 and 2019, or the current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Applications for any future product candidates could fail to receive regulatory approval for many reasons, including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the design, implementation or results of our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population studied in the clinical trial may not be sufficiently broad or representative to assure efficacy and safety in the full population for which we seek approval;</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our interpretation of data from preclinical studies or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be unable to demonstrate to the FDA, EMA or other comparable foreign regulatory authorities that our product candidate’s risk-benefit ratio for our proposed indication is acceptable;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regulatory authorities may fail to approve companion diagnostic tests for our product candidates, if required;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approval policies or regulations of the FDA, EMA or other comparable foreign regulatory authorities may significantly change in a manner rendering our clinical data insufficient for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EMA and other comparable foreign regulatory authorities may not accept data from trials conducted in locations outside of their jurisdiction.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clinical trials have been and may in the future be undertaken in the United States. We may choose to conduct additional clinical trials internationally as well. For example, we are currently conducting our PRECISION 1 trial of FYARRO in the United States, but 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regulatory uncertainty in foreign jurisdictions.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reimbursement before it can be approved for sale in that jurisdiction. In some cases, the price that we intend to charge for our products is also subject to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pStyle w:val="TextBody"/>
        <w:spacing w:lineRule="auto" w:line="288" w:before="120" w:after="120"/>
        <w:jc w:val="both"/>
        <w:rPr/>
      </w:pPr>
      <w:r>
        <w:rPr>
          <w:rFonts w:ascii="Times New Roman;sans-serif" w:hAnsi="Times New Roman;sans-serif"/>
          <w:b w:val="false"/>
          <w:color w:val="231F20"/>
          <w:sz w:val="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w:t>
      </w:r>
      <w:r>
        <w:rPr>
          <w:color w:val="000000"/>
        </w:rPr>
        <w:t xml:space="preserve"> </w:t>
      </w:r>
      <w:r>
        <w:rPr>
          <w:rFonts w:ascii="Times New Roman;sans-serif" w:hAnsi="Times New Roman;sans-serif"/>
          <w:b w:val="false"/>
          <w:color w:val="231F20"/>
          <w:sz w:val="20"/>
        </w:rPr>
        <w:t>applicable in the European Union, albeit that the processes for applications will be separate. Longer term, the United Kingdom is likely to develop its own legislation that diverges from that in the European Union.</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FYARRO does, and if any other product candidate that we may develop in the future receives marketing approval they may, have a label that limits their approved uses, including more limited subject populations, than we request, and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adverse inspection findings;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additional warnings or otherwise restrict the product’s indicated use, label, or marketing;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FYARRO products, distribution, manufacturers or manufacturing processes;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issuance of warning letters, safety alerts, dear-healthcare-provider letters, press releases or other communications containing warnings regarding the product that would result in adverse publicity;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voluntary or mandatory product recalls and publicity requirements or withdrawal of FYARRO from the market;</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suspension or withdrawal of marketing or regulatory approvals or other permits or voluntary;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 seizures, detentions or import bans;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total or partial suspension of production;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imposition of restrictions on operations, including costly new manufacturing requirements;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establish or modify a REMS;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conduct post-marketing studies or surveillance;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drug distribution or use;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requirements to conduct post-marketing studies or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to approve pending applications or supplements to approved applications that we submit and other delays;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in or the rejection of approvals of additional indications for FYARRO;</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ability to conduct clinical trials, including full or partial clinical holds on, or the suspension or termination of, ongoing or planned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fines, restitution or disgorgement of profits or revenue;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reputational harm;</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of government contracts or future orders under existing contracts, exclusion from participation in federal health care programs; or</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injunctions or the imposition of civil or criminal penalties, including False Claims Act liability.</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and other regulatory agencies actively enforce the laws and regulations prohibiting the promotion of off-label uses.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pStyle w:val="TextBody"/>
        <w:spacing w:lineRule="auto" w:line="288" w:before="120" w:after="120"/>
        <w:jc w:val="both"/>
        <w:rPr/>
      </w:pPr>
      <w:r>
        <w:rPr>
          <w:rFonts w:ascii="Times New Roman;sans-serif" w:hAnsi="Times New Roman;sans-serif"/>
          <w:b w:val="false"/>
          <w:color w:val="231F20"/>
          <w:sz w:val="20"/>
        </w:rPr>
        <w:t xml:space="preserve">In March 2022 and October 2018, we announced that the FDA granted Fast Track designation for FYARRO for the investigation of the treatment of adult and adolescent patients with malignant solid tumors harboring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pStyle w:val="TextBody"/>
        <w:spacing w:lineRule="auto" w:line="288" w:before="120" w:after="120"/>
        <w:jc w:val="both"/>
        <w:rPr/>
      </w:pPr>
      <w:r>
        <w:rPr>
          <w:rFonts w:ascii="Times New Roman;sans-serif" w:hAnsi="Times New Roman;sans-serif"/>
          <w:b w:val="false"/>
          <w:color w:val="231F20"/>
          <w:sz w:val="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FDA’s priority review procedures and we may not experience a faster development process, review or approval compared to conventional FDA procedures.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spacing w:lineRule="auto" w:line="288" w:before="120" w:after="283"/>
        <w:jc w:val="both"/>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Catalyst Pharms., Inc. v. Becerra</w:t>
      </w:r>
      <w:r>
        <w:rPr>
          <w:rFonts w:ascii="Times New Roman;sans-serif" w:hAnsi="Times New Roman;sans-serif"/>
          <w:b w:val="false"/>
          <w:color w:val="00000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ans-serif" w:hAnsi="Times New Roman;sans-serif"/>
          <w:b w:val="false"/>
          <w:i/>
          <w:color w:val="000000"/>
          <w:sz w:val="20"/>
        </w:rPr>
        <w:t>Catalyst</w:t>
      </w:r>
      <w:r>
        <w:rPr>
          <w:rFonts w:ascii="Times New Roman;sans-serif" w:hAnsi="Times New Roman;sans-serif"/>
          <w:b w:val="false"/>
          <w:color w:val="000000"/>
          <w:sz w:val="20"/>
        </w:rPr>
        <w:t xml:space="preserve">, the FDA intends to continue to apply its longstanding interpretation of the regulations to matters outside of the scope of the </w:t>
      </w:r>
      <w:r>
        <w:rPr>
          <w:rFonts w:ascii="Times New Roman;sans-serif" w:hAnsi="Times New Roman;sans-serif"/>
          <w:b w:val="false"/>
          <w:i/>
          <w:color w:val="000000"/>
          <w:sz w:val="20"/>
        </w:rPr>
        <w:t>Catalyst</w:t>
      </w:r>
      <w:r>
        <w:rPr>
          <w:color w:val="000000"/>
        </w:rPr>
        <w:t xml:space="preserve"> </w:t>
      </w:r>
      <w:r>
        <w:rPr>
          <w:rFonts w:ascii="Times New Roman;sans-serif" w:hAnsi="Times New Roman;sans-serif"/>
          <w:b w:val="false"/>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Even if orphan drug designation is granted, we may not be able to obtain or maintain orphan drug exclusivity for that product candidate. We may not be the first to obtain regulatory approval of any product candidate for which we have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orphan patient populations may change in size;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changes in the treatment options for patients that may provide alternative treatments to FYARRO;</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development costs may be greater than projected revenue of drug sales for the orphan indications;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regulatory agencies may disagree with the design or implementation of our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difficulties in enrolling patients for clinical trials;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prove to be efficacious in the respective orphan patient populations;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trial results may not meet the level of statistical significance required by the regulatory agencies;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have a favorable risk/benefit assessment in the respective orphan indication.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pStyle w:val="TextBody"/>
        <w:spacing w:lineRule="auto" w:line="288" w:before="120" w:after="120"/>
        <w:jc w:val="both"/>
        <w:rPr/>
      </w:pPr>
      <w:r>
        <w:rPr>
          <w:rFonts w:ascii="Times New Roman;sans-serif" w:hAnsi="Times New Roman;sans-serif"/>
          <w:b w:val="false"/>
          <w:color w:val="231F20"/>
          <w:sz w:val="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w:t>
      </w:r>
      <w:r>
        <w:rPr>
          <w:rFonts w:ascii="Times New Roman;sans-serif" w:hAnsi="Times New Roman;sans-serif"/>
          <w:b w:val="false"/>
          <w:color w:val="000000"/>
          <w:sz w:val="20"/>
        </w:rPr>
        <w:t xml:space="preserve">proval of promotional materials, which could adversely impact the timing of the commercial launch of the product. On December 29, 2022, the Consolidated Appropriations Act, 2023, including the Food and Drug Omnibus Reform Act (FDORA), was signed into law. FDORA made several changes to the FDA’s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000000"/>
          <w:sz w:val="20"/>
        </w:rPr>
        <w:t>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r>
        <w:rPr>
          <w:color w:val="000000"/>
        </w:rPr>
        <w:t xml:space="preserve"> </w:t>
      </w:r>
      <w:r>
        <w:rPr>
          <w:rFonts w:ascii="Times New Roman;sans-serif" w:hAnsi="Times New Roman;sans-serif"/>
          <w:b w:val="false"/>
          <w:color w:val="000000"/>
          <w:sz w:val="20"/>
        </w:rPr>
        <w:t>In March 2023,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face difficulties from changes to current regulations and future legislation.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the Consolidated Appropriations Act, 2023, the 2% Medicare sequester is extended for the first six months of FY 2032 and revises the sequester percentages up to 2% for FY 2030 and 2031.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pStyle w:val="TextBody"/>
        <w:spacing w:lineRule="auto" w:line="288" w:before="120" w:after="120"/>
        <w:jc w:val="both"/>
        <w:rPr/>
      </w:pPr>
      <w:r>
        <w:rPr>
          <w:rFonts w:ascii="Times New Roman;sans-serif" w:hAnsi="Times New Roman;sans-serif"/>
          <w:b/>
          <w:i/>
          <w:color w:val="231F20"/>
          <w:sz w:val="20"/>
        </w:rPr>
        <w:t>Inadequate funding for the FDA, the Securities and Exchange Commission (</w:t>
      </w:r>
      <w:r>
        <w:rPr>
          <w:color w:val="231F20"/>
        </w:rPr>
        <w:t>“</w:t>
      </w:r>
      <w:r>
        <w:rPr>
          <w:rFonts w:ascii="Times New Roman;sans-serif" w:hAnsi="Times New Roman;sans-serif"/>
          <w:b/>
          <w:i/>
          <w:color w:val="231F20"/>
          <w:sz w:val="20"/>
        </w:rPr>
        <w:t>SEC</w:t>
      </w:r>
      <w:r>
        <w:rPr>
          <w:color w:val="231F20"/>
        </w:rPr>
        <w:t>”</w:t>
      </w:r>
      <w:r>
        <w:rPr>
          <w:rFonts w:ascii="Times New Roman;sans-serif" w:hAnsi="Times New Roman;sans-serif"/>
          <w:b/>
          <w:i/>
          <w:color w:val="231F20"/>
          <w:sz w:val="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since March 2020 when foreign and domestic inspections of facilities were largely placed on hold, the FDA has been working to resume routine surveillance, bioresearch monitoring and pre-approval inspections on a prioritized basis. While the FDA has largely caught up with domestic preapproval inspections, it continues to work through its backlog of foreign inspections. Further, in our operations as a public company, future government shutdowns could impact our ability to access the public markets and obtain necessary capital in order to properly capitalize and continue our operations.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federal criminal laws that prohibit executing a scheme to defraud any healthcare benefit program or making, or causing to be made, false statements relating to healthcare matters;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FCPA, the U.K. Bribery Act of 2010, and other local anti-corruption laws that apply to our international activities;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products may be subject to U.S. and foreign export controls, trade sanctions and import laws and regulations. Governmental regulation of the import or export of our products, or our failure to obtain any required import or export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between Russia and Ukraine. The impact of these measures, as well as potential responses to them by Russia, is currently unknown and they could adversely affect our business, supply chain, business partners or customers.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Reliance on Third Parties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spacing w:lineRule="auto" w:line="288" w:before="120" w:after="120"/>
        <w:jc w:val="both"/>
        <w:rPr/>
      </w:pPr>
      <w:r>
        <w:rPr>
          <w:rFonts w:ascii="Times New Roman;sans-serif" w:hAnsi="Times New Roman;sans-serif"/>
          <w:b w:val="false"/>
          <w:color w:val="231F20"/>
          <w:sz w:val="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w:t>
      </w:r>
      <w:r>
        <w:rPr>
          <w:rFonts w:ascii="Times New Roman;sans-serif" w:hAnsi="Times New Roman;sans-serif"/>
          <w:b w:val="false"/>
          <w:color w:val="000000"/>
          <w:sz w:val="20"/>
        </w:rPr>
        <w:t xml:space="preserve">o alternative manufacturer in place. On January 13, 2022, we entered into a Negotiated Purchase Order Terms and Conditions for Clinical and Commercial Product, as amended effective as of August 1, 2022 (the “Fresenius Agreement”), with Fresenius Kabi pursuant to which Fresenius Kabi will manufacture FYARRO for intravenous use for us, and we will purchase FYARRO as a finished drug product from Fresenius Kabi, on a purchase-order basis. The Fresenius Agreement, as amended in January 2023, will be effective through March 31, 2024 (or such later date as may be agreed between the parties in writing), and we may purchase FYARRO for either clinical or commercial purposes for use in the United States and Canada. The price of FYARRO will be fixed, subject to the ability of Fresenius Kabi to increase pricing under specified circumstances. </w:t>
      </w:r>
      <w:r>
        <w:rPr>
          <w:rFonts w:ascii="Times New Roman;sans-serif" w:hAnsi="Times New Roman;sans-serif"/>
          <w:b w:val="false"/>
          <w:color w:val="231F20"/>
          <w:sz w:val="20"/>
        </w:rPr>
        <w:t xml:space="preserve">We also have an obligation to purchase 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future, in a timely manner or on budget. Moreover, if we are unable to keep up with demand for FYARRO, our revenue could be impaired, market acceptance for FYARRO could be adversely affected.</w:t>
      </w:r>
    </w:p>
    <w:p>
      <w:pPr>
        <w:pStyle w:val="TextBody"/>
        <w:spacing w:lineRule="auto" w:line="288" w:before="120" w:after="120"/>
        <w:jc w:val="both"/>
        <w:rPr/>
      </w:pPr>
      <w:r>
        <w:rPr>
          <w:rFonts w:ascii="Times New Roman;sans-serif" w:hAnsi="Times New Roman;sans-serif"/>
          <w:b w:val="false"/>
          <w:color w:val="231F20"/>
          <w:sz w:val="20"/>
        </w:rPr>
        <w:t>We may be unable to ma</w:t>
      </w:r>
      <w:r>
        <w:rPr>
          <w:rFonts w:ascii="Times New Roman;sans-serif" w:hAnsi="Times New Roman;sans-serif"/>
          <w:b w:val="false"/>
          <w:color w:val="000000"/>
          <w:sz w:val="20"/>
        </w:rPr>
        <w:t xml:space="preserve">intain or establish required agreements with third-party manufacturers or to do so on acceptable terms. Further, any delay in identifying and qualifying a manufacturer for commercial production could negatively impact the </w:t>
      </w:r>
      <w:r>
        <w:rPr>
          <w:rFonts w:ascii="Times New Roman;sans-serif" w:hAnsi="Times New Roman;sans-serif"/>
          <w:b w:val="false"/>
          <w:color w:val="231F20"/>
          <w:sz w:val="20"/>
        </w:rPr>
        <w:t>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termination or nonrenewal of arrangements or agreements by our third-party contractors at a time that is costly or inconvenient for us;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breach by the third-party contractors of our agreements with them;</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third-party contractors to comply with applicable regulatory requirements, including manufacturing drug supply pursuant to strictly enforced cGMPs;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third-party contractor to manufacture FYARRO or any of our other product candidates that we may develop in the future according to our specifications;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mislabeling of clinical supplies, potentially resulting in the wrong dose amounts being supplied or active drug or placebo not being properly identified;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misappropriation of our proprietary information, including our trade secrets and know-how.</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dependent on a single-source supplier for the drug product FYARRO, and the loss of such supplier could harm our business.</w:t>
      </w:r>
    </w:p>
    <w:p>
      <w:pPr>
        <w:pStyle w:val="TextBody"/>
        <w:spacing w:lineRule="auto" w:line="288" w:before="120" w:after="120"/>
        <w:jc w:val="both"/>
        <w:rPr/>
      </w:pPr>
      <w:r>
        <w:rPr>
          <w:rFonts w:ascii="Times New Roman;sans-serif" w:hAnsi="Times New Roman;sans-serif"/>
          <w:b w:val="false"/>
          <w:color w:val="231F20"/>
          <w:sz w:val="20"/>
        </w:rPr>
        <w:t>We rely on a single-source supplier, Fresenius K</w:t>
      </w:r>
      <w:r>
        <w:rPr>
          <w:rFonts w:ascii="Times New Roman;sans-serif" w:hAnsi="Times New Roman;sans-serif"/>
          <w:b w:val="false"/>
          <w:color w:val="000000"/>
          <w:sz w:val="20"/>
        </w:rPr>
        <w:t xml:space="preserve">abi, for our drug product FYARRO. In January 2022, we entered into the Fresenius Agreement, which we amended in January 2023 to, among other things, extend the term of the Fresenius Agreement to March 31, 2024 (or such later date as may be agreed upon between the parties), and amend certain terms related to pricing and the Company’s obligation to purchase certain minimum quantities of FYARRO from Fresenius Kabi. We also have supply agreements in place for key raw materials used in the manufacture </w:t>
      </w:r>
      <w:r>
        <w:rPr>
          <w:rFonts w:ascii="Times New Roman;sans-serif" w:hAnsi="Times New Roman;sans-serif"/>
          <w:b w:val="false"/>
          <w:color w:val="231F20"/>
          <w:sz w:val="20"/>
        </w:rPr>
        <w:t>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depend on intellectual property licensed from third parties and termination of any of these licenses could result in the loss of significant rights, which would harm our business.</w:t>
      </w:r>
    </w:p>
    <w:p>
      <w:pPr>
        <w:pStyle w:val="TextBody"/>
        <w:spacing w:lineRule="auto" w:line="288" w:before="120" w:after="120"/>
        <w:jc w:val="both"/>
        <w:rPr/>
      </w:pPr>
      <w:r>
        <w:rPr>
          <w:rFonts w:ascii="Times New Roman;sans-serif" w:hAnsi="Times New Roman;sans-serif"/>
          <w:b w:val="false"/>
          <w:color w:val="231F20"/>
          <w:sz w:val="20"/>
        </w:rPr>
        <w:t xml:space="preserve">We are dependent on patents, know-how and proprietary technology, </w:t>
      </w:r>
      <w:r>
        <w:rPr>
          <w:rFonts w:ascii="Times New Roman;sans-serif" w:hAnsi="Times New Roman;sans-serif"/>
          <w:b w:val="false"/>
          <w:color w:val="000000"/>
          <w:sz w:val="20"/>
        </w:rPr>
        <w:t>both our own and licensed from others. We entered into a license agreement with Abraxis BioScience, LLC, a wholly owned subsidiary of Celgene Corporation, which is a wholly owned subsidiary of Bristol Myers Squibb Company (“BMS”) pursuant to which we have licensed exclusive global rights to intellectual property and know-how related to FYARRO (the “BMS License”). We are required t</w:t>
      </w:r>
      <w:r>
        <w:rPr>
          <w:rFonts w:ascii="Times New Roman;sans-serif" w:hAnsi="Times New Roman;sans-serif"/>
          <w:b w:val="false"/>
          <w:color w:val="231F20"/>
          <w:sz w:val="20"/>
        </w:rPr>
        <w:t>o use 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pStyle w:val="TextBody"/>
        <w:spacing w:lineRule="auto" w:line="288" w:before="120" w:after="120"/>
        <w:jc w:val="both"/>
        <w:rPr>
          <w:rFonts w:ascii="Times New Roman;sans-serif" w:hAnsi="Times New Roman;sans-serif"/>
          <w:b/>
          <w:i/>
          <w:color w:val="231F20"/>
          <w:sz w:val="20"/>
          <w:highlight w:val="white"/>
        </w:rPr>
      </w:pPr>
      <w:r>
        <w:rPr>
          <w:rFonts w:ascii="Times New Roman;sans-serif" w:hAnsi="Times New Roman;sans-serif"/>
          <w:b/>
          <w:i/>
          <w:color w:val="231F20"/>
          <w:sz w:val="20"/>
          <w:highlight w:val="white"/>
        </w:rPr>
        <w:t>We may form or seek strategic alliances or collaborations in the future. Such alliances and collaborations may inhibit future opportunities, or we may not realize the benefits of such collaborations or alliances.</w:t>
      </w:r>
    </w:p>
    <w:p>
      <w:pPr>
        <w:pStyle w:val="TextBody"/>
        <w:spacing w:lineRule="auto" w:line="288" w:before="120" w:after="120"/>
        <w:jc w:val="both"/>
        <w:rPr/>
      </w:pPr>
      <w:r>
        <w:rPr>
          <w:rFonts w:ascii="Times New Roman;sans-serif" w:hAnsi="Times New Roman;sans-serif"/>
          <w:b w:val="false"/>
          <w:color w:val="231F20"/>
          <w:sz w:val="20"/>
          <w:highlight w:val="white"/>
        </w:rPr>
        <w:t xml:space="preserve">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t>
      </w:r>
      <w:r>
        <w:rPr>
          <w:rFonts w:ascii="Times New Roman;sans-serif" w:hAnsi="Times New Roman;sans-serif"/>
          <w:b w:val="false"/>
          <w:color w:val="231F20"/>
          <w:sz w:val="20"/>
        </w:rPr>
        <w:t>We are at risk that any such future collaborations may not be successful. Factors that may affect the success of our collaborations include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collaboration partners may incur financial and cash flow difficulties that force them to limit or reduce their efforts under their collaboration agreement with us;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be pursuing alternative technologies or developing alternative products that are competitive to our technology and products, either on their own or in partnership with others;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terminate their collaboration with us, which could make it difficult for us to attract new partners or adversely affect perception of us in the business and financial communities;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pursue higher priority programs or change the focus of their development programs, which could affect their commitment to us.</w:t>
      </w:r>
    </w:p>
    <w:p>
      <w:pPr>
        <w:pStyle w:val="TextBody"/>
        <w:spacing w:lineRule="auto" w:line="288" w:before="120" w:after="120"/>
        <w:jc w:val="both"/>
        <w:rPr/>
      </w:pPr>
      <w:r>
        <w:rPr>
          <w:rFonts w:ascii="Times New Roman;sans-serif" w:hAnsi="Times New Roman;sans-serif"/>
          <w:b w:val="false"/>
          <w:color w:val="231F20"/>
          <w:sz w:val="20"/>
        </w:rPr>
        <w:t>In addition, any future collaboration agreements we may enter into, are generally subject to termination by the counterparty on short notice upon</w:t>
      </w:r>
      <w:r>
        <w:rPr>
          <w:color w:val="231F20"/>
          <w:highlight w:val="white"/>
        </w:rPr>
        <w:t xml:space="preserve"> </w:t>
      </w:r>
      <w:r>
        <w:rPr>
          <w:rFonts w:ascii="Times New Roman;sans-serif" w:hAnsi="Times New Roman;sans-serif"/>
          <w:b w:val="false"/>
          <w:color w:val="231F20"/>
          <w:sz w:val="20"/>
          <w:highlight w:val="white"/>
        </w:rPr>
        <w:t xml:space="preserve">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231F20"/>
          <w:sz w:val="20"/>
          <w:highlight w:val="white"/>
        </w:rPr>
        <w:t>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Under the EOC License Agreement (as defined herein), we received an upfront payment and were eligible to receive regulatory and sales</w:t>
      </w:r>
      <w:r>
        <w:rPr>
          <w:rFonts w:ascii="Times New Roman;sans-serif" w:hAnsi="Times New Roman;sans-serif"/>
          <w:b w:val="false"/>
          <w:color w:val="000000"/>
          <w:sz w:val="20"/>
          <w:highlight w:val="white"/>
        </w:rPr>
        <w:t xml:space="preserve">-based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w:t>
      </w:r>
      <w:r>
        <w:rPr>
          <w:color w:val="000000"/>
        </w:rPr>
        <w:t>“</w:t>
      </w:r>
      <w:r>
        <w:rPr>
          <w:rFonts w:ascii="Times New Roman;sans-serif" w:hAnsi="Times New Roman;sans-serif"/>
          <w:b w:val="false"/>
          <w:color w:val="000000"/>
          <w:sz w:val="20"/>
          <w:highlight w:val="white"/>
        </w:rPr>
        <w:t>EOC Territory</w:t>
      </w:r>
      <w:r>
        <w:rPr>
          <w:color w:val="000000"/>
        </w:rPr>
        <w:t>”</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The EOC License Agreement was terminated effective June 27, 2022, and EOC initiated a Request for Arbitration with the International Chamber of Commerce's International Court of Arbitration against us on the same date. </w:t>
      </w:r>
      <w:r>
        <w:rPr>
          <w:rFonts w:ascii="Times New Roman;sans-serif" w:hAnsi="Times New Roman;sans-serif"/>
          <w:b w:val="false"/>
          <w:color w:val="000000"/>
          <w:sz w:val="20"/>
          <w:highlight w:val="white"/>
        </w:rPr>
        <w:t xml:space="preserve">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w:t>
      </w:r>
      <w:r>
        <w:rPr>
          <w:rFonts w:ascii="Times New Roman;sans-serif" w:hAnsi="Times New Roman;sans-serif"/>
          <w:b w:val="false"/>
          <w:color w:val="000000"/>
          <w:sz w:val="20"/>
        </w:rPr>
        <w:t>See Notes 8 and 13 to the condensed and consolidated financial statements for more information about the EOC License Agreement, its termination and resulting arbitration.</w:t>
      </w:r>
    </w:p>
    <w:p>
      <w:pPr>
        <w:pStyle w:val="TextBody"/>
        <w:spacing w:lineRule="auto" w:line="288" w:before="120" w:after="120"/>
        <w:jc w:val="both"/>
        <w:rPr/>
      </w:pPr>
      <w:r>
        <w:rPr>
          <w:rFonts w:ascii="Times New Roman;sans-serif" w:hAnsi="Times New Roman;sans-serif"/>
          <w:b w:val="false"/>
          <w:color w:val="000000"/>
          <w:sz w:val="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w:t>
      </w:r>
      <w:r>
        <w:rPr>
          <w:rFonts w:ascii="Times New Roman;sans-serif" w:hAnsi="Times New Roman;sans-serif"/>
          <w:b w:val="false"/>
          <w:color w:val="231F20"/>
          <w:sz w:val="20"/>
        </w:rPr>
        <w:t>s and company culture. We cannot be certain that, following a strategic transaction or license, we will achieve the revenues or specific net income that justifies such transaction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maintain successful collaborations, our business, financial condition, and operating results may be adversely affected.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increased operating expenses and cash requirements;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assumption of additional indebtedness or contingent liabilities;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issuance of our equity securities;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assimilation of operations, intellectual property, and products of an acquired company, including difficulties associated with integrating new personnel;</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diversion of our management’s attention from our existing programs and initiatives in pursuing such a strategic transaction;</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retention of key employees, the loss of key personnel and uncertainties in our ability to maintain key business relationships;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risks and uncertainties associated with the other party to such a transaction, including the prospects of that party and their existing products or product candidates and regulatory approvals;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decide to establish collaborations but are not able to establish those collaborations on commercially reasonable terms, we may have to alter our development and commercialization plans.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collaborators have significant discretion in determining the efforts and resources that they will apply to these collaborations and may not perform their obligations as expected;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grant exclusive rights to our collaborators that would prevent us from collaborating with others;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collaborations may be terminated and, if terminated, may result in a need for additional capital to pursue further development or commercialization of the applicable product candidates;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 agreements may not lead to development or commercialization of product candidates in the most efficient manner or at all;</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own or co-own intellectual property covering our products that results from us collaborating with them, and in such cases, we would not have the exclusive right to develop or commercialize such intellectual property; and</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collaborator’s sales and marketing activities or other operations may not be in compliance with applicable laws, resulting in civil or criminal proceedings.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do not believe that EOC had a right to terminate the EOC License Agreement for material breach, and accordingly believe that the termination of the EOC License Agreement is a termination for convenience. EOC had the right to terminate the agreement for convenience upon 120 days advance written notice. We waived such notice period in connection with EOC's termination notice and, as a result, the EOC License Agreement was terminated effective June 27, 2022.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pStyle w:val="TextBody"/>
        <w:spacing w:before="120" w:after="120"/>
        <w:jc w:val="both"/>
        <w:rPr/>
      </w:pPr>
      <w:r>
        <w:rPr/>
      </w:r>
    </w:p>
    <w:p>
      <w:pPr>
        <w:pStyle w:val="TextBody"/>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Employee Matters, Managing Our Growth and Other Risks Related to our Business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is highly dependent on our ability to attract and retain highly skilled executive officers, key scientific personnel and employees.</w:t>
      </w:r>
    </w:p>
    <w:p>
      <w:pPr>
        <w:pStyle w:val="TextBody"/>
        <w:spacing w:lineRule="auto" w:line="288" w:before="120" w:after="120"/>
        <w:jc w:val="both"/>
        <w:rPr/>
      </w:pPr>
      <w:r>
        <w:rPr>
          <w:rFonts w:ascii="Times New Roman;sans-serif" w:hAnsi="Times New Roman;sans-serif"/>
          <w:b w:val="false"/>
          <w:color w:val="231F2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w:t>
      </w:r>
      <w:r>
        <w:rPr>
          <w:rFonts w:ascii="Times New Roman;sans-serif" w:hAnsi="Times New Roman;sans-serif"/>
          <w:b w:val="false"/>
          <w:color w:val="000000"/>
          <w:sz w:val="20"/>
        </w:rPr>
        <w:t xml:space="preserve">esults. In particular, the loss of one or more of our executive officers or key scientific personnel could be detrimental to us if 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January 1, 2023. In addition, on March 3, 2023, we announced Mr. Delaney’s resignation as President and CEO, effective March 14, 2023, and the appointment of Scott Giacobello, our Chief Financial Officer to Interim CEO and President, effective March 15, 2023, while our Board conducts an executive search for a successor CEO. These leadership transitions, as well as future other senior management changes, could disrupt and have 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pStyle w:val="TextBody"/>
        <w:spacing w:lineRule="auto" w:line="288" w:before="120" w:after="120"/>
        <w:jc w:val="both"/>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w:t>
      </w:r>
      <w:r>
        <w:rPr>
          <w:rFonts w:ascii="Times New Roman;sans-serif" w:hAnsi="Times New Roman;sans-serif"/>
          <w:b w:val="false"/>
          <w:color w:val="231F20"/>
          <w:sz w:val="20"/>
        </w:rPr>
        <w:t>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when approved, we may not be able to successfully sell or market our product candidates that obtain regulatory approval.</w:t>
      </w:r>
    </w:p>
    <w:p>
      <w:pPr>
        <w:pStyle w:val="TextBody"/>
        <w:spacing w:lineRule="auto" w:line="288" w:before="120" w:after="120"/>
        <w:jc w:val="both"/>
        <w:rPr/>
      </w:pPr>
      <w:r>
        <w:rPr>
          <w:rFonts w:ascii="Times New Roman;sans-serif" w:hAnsi="Times New Roman;sans-serif"/>
          <w:b w:val="false"/>
          <w:color w:val="231F20"/>
          <w:sz w:val="20"/>
        </w:rPr>
        <w:t>In order to commercialize FYARRO</w:t>
      </w:r>
      <w:r>
        <w:rPr>
          <w:color w:val="231F20"/>
        </w:rPr>
        <w:t xml:space="preserve"> </w:t>
      </w:r>
      <w:r>
        <w:rPr>
          <w:rFonts w:ascii="Times New Roman;sans-serif" w:hAnsi="Times New Roman;sans-serif"/>
          <w:b w:val="false"/>
          <w:color w:val="231F20"/>
          <w:sz w:val="20"/>
        </w:rPr>
        <w:t>for advanced malignant PEComa or any additional indications that we may seek approval for, or any other product candidate that we may develop in the future, if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order to successfully implement our plans and strategies, we will need to grow the size of our organization, and we may experience difficulties in managing this growth.</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March 31, 2023, we had 80 full-time employees, including 50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identifying, recruiting, integrating, maintaining and motivating additional employees;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managing our internal development efforts effectively, including the clinical, FDA, EMA and other comparable foreign regulatory agencies’ review process for FYARRO and any other product candidates, while complying with any contractual obligations to contractors and other third parties we may have;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improving our operational, financial and management controls, reporting systems and procedures.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insurance policies may not be adequate to compensate us for the potential losses arising from any 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or the third parties upon whom we depend, may be adversely affected by earthquakes, wildfires and other natural disasters, and our business continuity and disaster recovery plans may not adequately protect us from a serious disaster.</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unplanned event, such as flood, fire, explosion, earthquake, extreme weather condition, medical epidemics, such as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utilize our net operating loss (“NOL”) carryforwards and certain other tax attributes to offset future taxable income may be limited.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NOL carryforwards may be unavailable to offset future taxable income because of restrictions under United States tax law. Our NOLs generated in tax years beginning before January 1, 2018 are only permitted to be carried forward for 20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It is uncertain if and to what extent various states will conform to the federal legislation. As of December 31, 2022, after consideration of the NOLs that have been estimated to expire unused under Section 382 of the Internal Revenue Code of 1986, as amended (the “Code”), we had federal NOL carryforwards of approximately $167.5 million, $44.1 million of which will begin to expire in 2030 and the remaining $123.4 million do not expire. We also have state NOL carryforwards of approximately $72.0 million available as of December 31, 2022, which begin to expire in 2037.</w:t>
      </w:r>
    </w:p>
    <w:p>
      <w:pPr>
        <w:pStyle w:val="TextBody"/>
        <w:spacing w:lineRule="auto" w:line="288" w:before="120" w:after="120"/>
        <w:jc w:val="both"/>
        <w:rPr/>
      </w:pPr>
      <w:r>
        <w:rPr>
          <w:rFonts w:ascii="Times New Roman;sans-serif" w:hAnsi="Times New Roman;sans-serif"/>
          <w:b w:val="false"/>
          <w:color w:val="231F20"/>
          <w:sz w:val="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Times New Roman;sans-serif" w:hAnsi="Times New Roman;sans-serif"/>
          <w:b w:val="false"/>
          <w:color w:val="000000"/>
          <w:sz w:val="20"/>
          <w:highlight w:val="white"/>
        </w:rPr>
        <w:t xml:space="preserve">To the extent such limitations will cause NOL and research and development credit carryforwards to expire unused, these tax attributes have been removed from our deferred tax asset. </w:t>
      </w:r>
      <w:r>
        <w:rPr>
          <w:rFonts w:ascii="Times New Roman;sans-serif" w:hAnsi="Times New Roman;sans-serif"/>
          <w:b w:val="false"/>
          <w:color w:val="231F20"/>
          <w:sz w:val="20"/>
        </w:rPr>
        <w:t>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Limitations may also apply to state NOLs under state law.</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United States federal income tax reform could materially adversely affect our financial condition.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the United States must be capitalized and amortized over a 15-year period. Although Congress is considering legislation that would repeal or defer this capitalization and amortization requirement, it is not certain that this provision will be repealed or otherwise modified. Further, the United States recently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variety of risks associated with marketing FYARRO or any product candidates that we may develop in the future, if approved, internationally could materially adversely affect our business.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seek regulatory approval of FYARRO or any of our product candidates that we may develop in the future outside of the United States and, accordingly, we expect that we will be subject to additional risks related to operating in foreign countries if we obtain the necessary approvals, including: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differing regulatory requirements and reimbursement regimes in foreign countries;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unexpected changes in tariffs, trade barriers, price and exchange controls and other regulatory requirements;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economic weakness, including inflation, or political instability in particular foreign economies and markets;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compliance with tax, employment, immigration and labor laws for employees living or traveling abroad;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foreign taxes, including withholding of payroll taxes;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foreign currency fluctuations, which could result in increased operating expenses and reduced revenue, and other obligations incident to doing business in another country;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difficulties staffing and managing foreign operations;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workforce uncertainty in countries where labor unrest is more common than in the United States;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potential liability under the FCPA or comparable foreign regulations;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materially adversely affect our ability to attain or maintain profitable operations.</w:t>
      </w:r>
    </w:p>
    <w:p>
      <w:pPr>
        <w:pStyle w:val="TextBody"/>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Intellectual Property</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depends on our ability to protect our intellectual property and our proprietary technologies.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 applications may not result in any patents being issued;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if clinical trials encounter delays, the period of time during which we could market our current or future product candidates under patent protection would be reduced;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patents may be challenged, invalidated, modified, narrowed, revoked, circumvented, found to be unenforceable, found to be not infringed or otherwise may not provide any competitive advantage;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even when laws provide protection, costly and time-consuming litigation could be necessary to enforce and determine the scope of our proprietary rights, and the outcome of such litigation would be uncertain. Moreover,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actions we may bring to enforce our intellectual property against our competitors could provoke them to bring counterclaims against us;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countries other than the United States may have patent laws less favorable to patentees than those upheld by United States courts, allowing foreign competitors a better opportunity to create, develop and market competing products or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spacing w:lineRule="auto" w:line="288" w:before="120" w:after="120"/>
        <w:jc w:val="both"/>
        <w:rPr/>
      </w:pPr>
      <w:r>
        <w:rPr>
          <w:rFonts w:ascii="Times New Roman;sans-serif" w:hAnsi="Times New Roman;sans-serif"/>
          <w:b w:val="false"/>
          <w:color w:val="231F2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sans-serif" w:hAnsi="Times New Roman;sans-serif"/>
          <w:b w:val="false"/>
          <w:i/>
          <w:color w:val="231F20"/>
          <w:sz w:val="20"/>
        </w:rPr>
        <w:t xml:space="preserve">inter partes </w:t>
      </w:r>
      <w:r>
        <w:rPr>
          <w:rFonts w:ascii="Times New Roman;sans-serif" w:hAnsi="Times New Roman;sans-serif"/>
          <w:b w:val="false"/>
          <w:color w:val="231F20"/>
          <w:sz w:val="20"/>
        </w:rPr>
        <w:t xml:space="preserve">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rights do not necessarily address all potential threats to our competitive advantage.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be able to develop products that are similar to FYARRO or any future product candidates but that are not covered by the claims of the patents that we own or license;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make the inventions covered by the issued patents or patent application that we own or license;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file patent applications covering certain of our inventions;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independently develop similar or alternative technologies or duplicate any of our technologies without infringing our intellectual property rights;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it is possible that the pending patent applications we own or license will not lead to issued patents;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issued patents that we own or license may be held invalid or unenforceable, as a result of legal challenges by our competitors;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develop additional proprietary technologies that are patentable;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patents of others may have an adverse effect on our business;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choose not to file a patent in order to maintain certain trade secrets or know-how, and a third party may subsequently file a patent covering such intellectual property.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Should any of these events occur, it could significantly harm our business, financial condition,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formulations, methods of manufacture or methods for treatment related to the use or manufacture of our product or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result in costly litigation that may cause negative publicity;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divert the time and attention of our technical personnel and management;</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cause development delays;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prevent us from commercializing any of our product candidates until the asserted patent expires or is held finally invalid or not infringed in a court of law;</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develop non-infringing technology, which may not be possible on a cost-effective basis;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subject us to significant liability to third parties; or</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no third party has asserted a claim of patent infringement against us as of the date of this Quarterly Report, others may hold proprietary rights that could prevent FYARRO or our product candidates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one of our products or product candidates.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obtaining or maintaining necessary rights to our product or product candidates that we may develop in the future through acquisitions and in-licenses.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litigation may lead to unfavorable publicity that harms our reputation and causes the market price of our common shares to decline.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Derivation proceedings may be necessary to determine priority of inventions, and an unfavorable outcome may require us to cease using the related technology or to attempt to license rights from the prevailing party.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reform legislation could increase the uncertainties and costs surrounding the prosecution of our patent applications or those of our licensors and the enforcement or defense of our issued patents or those of our licensors.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or product candidates or (2) invent any of the inventions claimed in the patents or patent applications.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proceeding could reduce the scope or enforceability of, or invalidate, our patent rights, which could adversely affect our competitive position.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United States patent law, or laws in other countries, could diminish the value of patents in general, thereby impairing our ability to protect our product or product candidates.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challenging the inventorship or ownership of our patents and other intellectual property.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terms may be inadequate to protect our competitive position on our product or product candidates that we may develop in the future for an adequate amount of time.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do not obtain patent term extension for our product or product candidates that we may develop in the future, our business may be materially harmed.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January 2022, we filed an application for patent term extension based on the approval of FYARRO. Depending upon the timing, duration and specifics of FDA regulatory approval of our product candidates that we may develop in the future, one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protect our intellectual property rights throughout the world.</w:t>
      </w:r>
    </w:p>
    <w:p>
      <w:pPr>
        <w:pStyle w:val="TextBody"/>
        <w:spacing w:lineRule="auto" w:line="288" w:before="120" w:after="120"/>
        <w:jc w:val="both"/>
        <w:rPr/>
      </w:pPr>
      <w:r>
        <w:rPr>
          <w:rFonts w:ascii="Times New Roman;sans-serif" w:hAnsi="Times New Roman;sans-serif"/>
          <w:b w:val="false"/>
          <w:color w:val="231F20"/>
          <w:sz w:val="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w:t>
      </w:r>
      <w:r>
        <w:rPr>
          <w:rFonts w:ascii="Times New Roman;sans-serif" w:hAnsi="Times New Roman;sans-serif"/>
          <w:b w:val="false"/>
          <w:color w:val="000000"/>
          <w:sz w:val="20"/>
        </w:rPr>
        <w:t>atent applications and we may not timely file foreign patent applications.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complexity and uncertainty of European patent laws have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Many countries have compulsory licensing laws under which a patent owner may be compelled to grant licenses to third parties. In addition, many countries limit the enforceability of patents against third parties, including government agencies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trademarks and trade names are not adequately protected, then we may not be able to build name recognition in our markets of interest and our business may be adversely affected.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protect the confidentiality of our trade secrets, our business and competitive position would be harmed.</w:t>
      </w:r>
    </w:p>
    <w:p>
      <w:pPr>
        <w:pStyle w:val="TextBody"/>
        <w:spacing w:lineRule="auto" w:line="288" w:before="120" w:after="120"/>
        <w:jc w:val="both"/>
        <w:rPr/>
      </w:pPr>
      <w:r>
        <w:rPr>
          <w:rFonts w:ascii="Times New Roman;sans-serif" w:hAnsi="Times New Roman;sans-serif"/>
          <w:b w:val="false"/>
          <w:color w:val="231F20"/>
          <w:sz w:val="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sans-serif" w:hAnsi="Times New Roman;sans-serif"/>
          <w:b w:val="false"/>
          <w:color w:val="000000"/>
          <w:sz w:val="20"/>
        </w:rPr>
        <w:t>a</w:t>
      </w:r>
      <w:r>
        <w:rPr>
          <w:rFonts w:ascii="Times New Roman;sans-serif" w:hAnsi="Times New Roman;sans-serif"/>
          <w:b w:val="false"/>
          <w:color w:val="231F20"/>
          <w:sz w:val="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or our employees, consultants or advisors have wrongfully used or disclosed alleged confidential information or trade secrets.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common in the pharmaceutical industry, in addition to our employees, we engage the services of consultants to assist us in the development of our product or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rights to develop and commercialize our technology, product and product candidates that we may develop in the future may be subject, in part, to the terms and conditions of licenses granted to us by others.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pStyle w:val="TextBody"/>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pStyle w:val="TextBody"/>
        <w:spacing w:lineRule="auto" w:line="26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may arise between us and our licensors regarding intellectual property subject to a license agreement, including:</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the scope of rights granted under the license agreement and other interpretation-related issues;</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whether and the extent to which our technology and processes infringe on intellectual property of the licensor that is not subject to the licensing agreement;</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our right to sublicense patents and other rights to third parties;</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our diligence obligations under the license agreement and what activities satisfy those diligence obligations;</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our right to transfer or assign the license;</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the inventorship and ownership of inventions and know-how resulting from the joint creation or use of intellectual property by us and our licensors and partners; and</w:t>
      </w:r>
    </w:p>
    <w:p>
      <w:pPr>
        <w:pStyle w:val="TextBody"/>
        <w:spacing w:lineRule="auto" w:line="268" w:before="120" w:after="120"/>
        <w:ind w:left="0" w:right="0" w:hanging="360"/>
        <w:jc w:val="both"/>
        <w:rPr/>
      </w:pPr>
      <w:r>
        <w:rPr>
          <w:color w:val="000000"/>
        </w:rPr>
        <w:t>•</w:t>
      </w:r>
      <w:r>
        <w:rPr>
          <w:rFonts w:ascii="Times New Roman;sans-serif" w:hAnsi="Times New Roman;sans-serif"/>
          <w:b w:val="false"/>
          <w:color w:val="231F20"/>
          <w:sz w:val="20"/>
        </w:rPr>
        <w:t>the priority of invention of patented technology.</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patent protection and patent prosecution for our product and product candidates that we may develop in the future may be dependent on third parties.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While we normally seek to obtain the right to control prosecution, maintenance and enforcement of the patents relating to our product or product candidates,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adversely affected or prejudiced by actions or inactions of our licensees, our licensors and their counsel that took place prior to the date upon which we assumed control over patent prosecution.</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pStyle w:val="TextBody"/>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General Risks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Litigation and legal proceedings, including the EOC dispute, may substantially increase our costs and harm our business.</w:t>
      </w:r>
    </w:p>
    <w:p>
      <w:pPr>
        <w:pStyle w:val="TextBody"/>
        <w:spacing w:lineRule="auto" w:line="288" w:before="0" w:after="0"/>
        <w:jc w:val="both"/>
        <w:rPr/>
      </w:pPr>
      <w:r>
        <w:rPr>
          <w:rFonts w:ascii="Times New Roman;sans-serif" w:hAnsi="Times New Roman;sans-serif"/>
          <w:b w:val="false"/>
          <w:color w:val="000000"/>
          <w:sz w:val="20"/>
        </w:rPr>
        <w:t xml:space="preserve">As described in Note 13 (Commitments and contingencies) to the </w:t>
      </w:r>
      <w:r>
        <w:rPr>
          <w:rFonts w:ascii="Times New Roman;sans-serif" w:hAnsi="Times New Roman;sans-serif"/>
          <w:b w:val="false"/>
          <w:color w:val="000000"/>
          <w:sz w:val="20"/>
          <w:highlight w:val="white"/>
        </w:rPr>
        <w:t>condensed consolidated financial statements</w:t>
      </w:r>
      <w:r>
        <w:rPr>
          <w:color w:val="000000"/>
        </w:rPr>
        <w:t xml:space="preserve"> </w:t>
      </w:r>
      <w:r>
        <w:rPr>
          <w:rFonts w:ascii="Times New Roman;sans-serif" w:hAnsi="Times New Roman;sans-serif"/>
          <w:b w:val="false"/>
          <w:color w:val="000000"/>
          <w:sz w:val="20"/>
        </w:rPr>
        <w:t>in Part I, Item 1 of this Quarterly Report on Form 10-Q, w</w:t>
      </w:r>
      <w:r>
        <w:rPr>
          <w:rFonts w:ascii="Times New Roman;sans-serif" w:hAnsi="Times New Roman;sans-serif"/>
          <w:b w:val="false"/>
          <w:color w:val="231F20"/>
          <w:sz w:val="20"/>
        </w:rPr>
        <w:t>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information to EOC.</w:t>
      </w:r>
      <w:r>
        <w:rPr>
          <w:color w:val="231F20"/>
        </w:rPr>
        <w:t xml:space="preserve"> </w:t>
      </w:r>
      <w:r>
        <w:rPr>
          <w:rFonts w:ascii="Times New Roman;sans-serif" w:hAnsi="Times New Roman;sans-serif"/>
          <w:b w:val="false"/>
          <w:color w:val="231F20"/>
          <w:sz w:val="20"/>
        </w:rPr>
        <w:t xml:space="preserve">As a result, EOC is seeking monetary damages. The arbitration process is ongoing.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stock price is volatile.</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market price of our common stock could be subject to significant fluctuations. From the completion of the Merger on August 26, 2021 through March 31, 2023, the market price for our common stock ranged from a low of $6.85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obtain regulatory approvals for FYARRO in other indications or for any other product candidates that we may develop in the future, and delays or failures to obtain such approvals;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results of current, and any future, nonclinical or clinical trials of FYARRO or any of our product candidates that we may develop in the future; </w:t>
      </w:r>
    </w:p>
    <w:p>
      <w:pPr>
        <w:pStyle w:val="TextBody"/>
        <w:spacing w:lineRule="auto" w:line="288" w:before="120" w:after="120"/>
        <w:ind w:left="0" w:right="0" w:hanging="360"/>
        <w:jc w:val="both"/>
        <w:rPr/>
      </w:pPr>
      <w:r>
        <w:rPr>
          <w:color w:val="231F20"/>
        </w:rPr>
        <w:t>•</w:t>
      </w:r>
      <w:r>
        <w:rPr>
          <w:rFonts w:ascii="Times New Roman;sans-serif" w:hAnsi="Times New Roman;sans-serif"/>
          <w:b w:val="false"/>
          <w:color w:val="231F20"/>
          <w:sz w:val="20"/>
        </w:rPr>
        <w:t>the failure of FYARRO or any product candidates that we may develop in the future, if approved for marketing and commercialization, to achieve commercial success;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any inability to obtain adequate supply of FYARRO or any of our product candidates that we may develop in the future or the inability to do so at acceptable prices;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entry into, or termination of, key agreements, including key licensing, supply or collaboration agreements;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authority decisions;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initiation of material developments in, or conclusion of, disputes or litigation to enforce or defend any of our intellectual property rights or defend against the intellectual property rights of others;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laws or regulations applicable to FYARRO or any of our product candidates that we may develop in the future;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by commercial partners or competitors of new commercial products, clinical progress (or the lack thereof), significant contracts, commercial relationships, or capital commitments;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financial and development projections we may provide to the public;</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the financial and development projections of the investment community;</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perception of the pharmaceutical industry by the public, legislatures, regulators and the investment community;</w:t>
      </w:r>
    </w:p>
    <w:p>
      <w:pPr>
        <w:pStyle w:val="TextBody"/>
        <w:spacing w:lineRule="auto" w:line="268" w:before="0" w:after="0"/>
        <w:ind w:left="0" w:right="0" w:hanging="360"/>
        <w:rPr/>
      </w:pPr>
      <w:r>
        <w:rPr>
          <w:color w:val="000000"/>
        </w:rPr>
        <w:t>•</w:t>
      </w:r>
      <w:r>
        <w:rPr>
          <w:rFonts w:ascii="Times New Roman;sans-serif" w:hAnsi="Times New Roman;sans-serif"/>
          <w:b w:val="false"/>
          <w:color w:val="231F20"/>
          <w:sz w:val="20"/>
        </w:rPr>
        <w:t>general market conditions and other factors unrelated to our operating performance or the operating performance of our competitors, including turmoil in the global banking system, deteriorating market conditions due to investor concerns regarding inflation and hostilities between Russia and Ukraine;</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publicity relating to our markets, including with respect to other products and potential products in such markets;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introduction of technological innovations or new therapies competing with our products and potential products;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of significant acquisitions, strategic collaborations, joint ventures or capital commitments by us or our competitors;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disputes or other developments relating to proprietary rights, including patents, litigation matters, and our ability to obtain patent protection for our technologies;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the loss of key employees;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significant lawsuits, including patent or stockholder litigation;</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if securities or industry analysts do not publish research or reports about our business, or if they issue an adverse or misleading opinion regarding our business and stock;</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market valuations of similar companies;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general and industry-specific economic conditions potentially affecting our research and development expenditures;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sales of our common stock by us or our stockholders in the future, or the anticipation thereof;</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structure of health care payment systems;</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decisions;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period-to-period fluctuations in our financial results.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pStyle w:val="TextBody"/>
        <w:spacing w:lineRule="auto" w:line="288" w:before="120" w:after="120"/>
        <w:jc w:val="both"/>
        <w:rPr/>
      </w:pPr>
      <w:r>
        <w:rPr>
          <w:rFonts w:ascii="Times New Roman;sans-serif" w:hAnsi="Times New Roman;sans-serif"/>
          <w:b w:val="false"/>
          <w:color w:val="231F20"/>
          <w:sz w:val="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sans-serif" w:hAnsi="Times New Roman;sans-serif"/>
          <w:b w:val="false"/>
          <w:color w:val="000000"/>
          <w:sz w:val="20"/>
        </w:rPr>
        <w:t>We rely heavily on 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pStyle w:val="TextBody"/>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management makes judgments and assumptions regarding our product sales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spacing w:lineRule="auto" w:line="288" w:before="120" w:after="120"/>
        <w:jc w:val="both"/>
        <w:rPr/>
      </w:pPr>
      <w:r>
        <w:rPr>
          <w:rFonts w:ascii="Times New Roman;sans-serif" w:hAnsi="Times New Roman;sans-serif"/>
          <w:b/>
          <w:i/>
          <w:color w:val="231F20"/>
          <w:sz w:val="20"/>
        </w:rPr>
        <w:t xml:space="preserve">We will continue to </w:t>
      </w:r>
      <w:r>
        <w:rPr>
          <w:rFonts w:ascii="Times New Roman;sans-serif" w:hAnsi="Times New Roman;sans-serif"/>
          <w:b/>
          <w:i/>
          <w:color w:val="000000"/>
          <w:sz w:val="20"/>
        </w:rPr>
        <w:t xml:space="preserve">incur significant increased costs and management resources as a result of operating as a public company.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w:t>
      </w:r>
      <w:r>
        <w:rPr>
          <w:rFonts w:ascii="Times New Roman;sans-serif" w:hAnsi="Times New Roman;sans-serif"/>
          <w:b w:val="false"/>
          <w:color w:val="231F20"/>
          <w:sz w:val="20"/>
        </w:rPr>
        <w:t xml:space="preserve">ult for us to attract and retain qualified members for our board of directors, particularly to serve on our audit committee and compensation committee, and qualified executive officers.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There can be no assurance that we will be able to comply with the continued listing standards of Nasdaq. </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 limited availability of market quotations for our securities;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reduced liquidity for our securities; </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 limited amount of new and analyst coverage; and</w:t>
      </w:r>
    </w:p>
    <w:p>
      <w:pPr>
        <w:pStyle w:val="TextBody"/>
        <w:spacing w:lineRule="auto" w:line="288" w:before="120" w:after="120"/>
        <w:ind w:left="0" w:right="0" w:hanging="360"/>
        <w:jc w:val="both"/>
        <w:rPr/>
      </w:pPr>
      <w:r>
        <w:rPr>
          <w:color w:val="000000"/>
        </w:rPr>
        <w:t>•</w:t>
      </w:r>
      <w:r>
        <w:rPr>
          <w:rFonts w:ascii="Times New Roman;sans-serif" w:hAnsi="Times New Roman;sans-serif"/>
          <w:b w:val="false"/>
          <w:color w:val="231F20"/>
          <w:sz w:val="20"/>
        </w:rPr>
        <w:t>a decreased ability to issue additional securities or obtain additional financing in the future.</w:t>
      </w:r>
    </w:p>
    <w:p>
      <w:pPr>
        <w:pStyle w:val="TextBody"/>
        <w:spacing w:lineRule="auto" w:line="288" w:before="120" w:after="120"/>
        <w:jc w:val="both"/>
        <w:rPr/>
      </w:pPr>
      <w:r>
        <w:rPr>
          <w:rFonts w:ascii="Times New Roman;sans-serif" w:hAnsi="Times New Roman;sans-serif"/>
          <w:b/>
          <w:i/>
          <w:color w:val="231F20"/>
          <w:sz w:val="20"/>
        </w:rPr>
        <w:t>Sales of a sub</w:t>
      </w:r>
      <w:r>
        <w:rPr>
          <w:rFonts w:ascii="Times New Roman;sans-serif" w:hAnsi="Times New Roman;sans-serif"/>
          <w:b/>
          <w:i/>
          <w:color w:val="000000"/>
          <w:sz w:val="20"/>
        </w:rPr>
        <w:t>stantial number of shares of our common stock in the public market, including by our existing stockholders, could cause our stock price to fall.</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2021, we filed a universal shelf registration statement on Form S-3 (the “Shelf Registration Statement”) to offer up to $150 million of our securities, which expires on April 15, 2024.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 </w:t>
      </w:r>
    </w:p>
    <w:p>
      <w:pPr>
        <w:pStyle w:val="TextBody"/>
        <w:spacing w:lineRule="auto" w:line="288" w:before="120" w:after="120"/>
        <w:jc w:val="both"/>
        <w:rPr/>
      </w:pPr>
      <w:r>
        <w:rPr>
          <w:rFonts w:ascii="Times New Roman;sans-serif" w:hAnsi="Times New Roman;sans-serif"/>
          <w:b w:val="false"/>
          <w:color w:val="000000"/>
          <w:sz w:val="20"/>
        </w:rPr>
        <w:t xml:space="preserve">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w:t>
      </w:r>
      <w:r>
        <w:rPr>
          <w:rFonts w:ascii="Times New Roman;sans-serif" w:hAnsi="Times New Roman;sans-serif"/>
          <w:b w:val="false"/>
          <w:color w:val="231F20"/>
          <w:sz w:val="20"/>
        </w:rPr>
        <w:t>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principal stockholders and management own a significant percentage of our common stock and will be able to exert significant control over matters subject to stockholder approval.</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executive officers, directors, holders of 5% or more of our capital stock and their respective affiliates beneficially owned a significant portion of our outstanding voting stock.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pPr>
      <w:r>
        <w:rPr>
          <w:rFonts w:ascii="Times New Roman;sans-serif" w:hAnsi="Times New Roman;sans-serif"/>
          <w:b w:val="false"/>
          <w:color w:val="231F20"/>
          <w:sz w:val="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w:t>
      </w:r>
      <w:r>
        <w:rPr>
          <w:rFonts w:ascii="Times New Roman;sans-serif" w:hAnsi="Times New Roman;sans-serif"/>
          <w:b w:val="false"/>
          <w:color w:val="000000"/>
          <w:sz w:val="20"/>
        </w:rPr>
        <w:t>that you may feel are in your best interest as one of our stockholders. The interests of this group of stockholders may not a</w:t>
      </w:r>
      <w:r>
        <w:rPr>
          <w:rFonts w:ascii="Times New Roman;sans-serif" w:hAnsi="Times New Roman;sans-serif"/>
          <w:b w:val="false"/>
          <w:color w:val="231F20"/>
          <w:sz w:val="20"/>
        </w:rPr>
        <w:t xml:space="preserve">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 </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Unfavorable market and global economic conditions as a result of multiple global events, including the COVID-19 pandemic, adverse developments affecting the financial services industry, the conflict in Eastern Europe, increasing interest rates and general economic downturns, could adversely affect our business, financial condition or results of operations.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potential economic impact brought by multiple adverse global circumstances, such as the COVID-19 pandemic, conflicts in Eastern Europe,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will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systemic limitations on access to credit and liquidity sources, thereby making it more difficult for us to acquire financing on acceptable terms or at all.</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2023, we had cash, cash equivalents and short-term investments of $151.2 million, consisting of U.S government treasury bills, commercial paper, corporate debt securities, and government agency bonds. Any default by the U.S. government or credit downgrade of the securities we hold could impact the liquidity or valuation of our investments.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 “smaller reporting company” under applicable securities regulations. A smaller reporting company is a company that, as of the last business day of its most recently completed second fiscal quarter, has (i) an aggregate market value of the company’s voting stock held by non-affiliates, or public float, of less than $250 million or (ii) less than $100 million in revenue and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do not anticipate that we will pay any cash dividends in the foreseeable future.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equity research analysts do not publish research or reports, or publish unfavorable research or reports, about us, our business or our market, our stock price and trading volume could decline.</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Anti-takeover provisions in our charter documents and under Delaware law could make an acquisition of us more difficult and may prevent attempts our stockholders to replace or remove our management.</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immediately preceding such exhibits, which is incorporated herein by reference, are filed or furnished as part of this Quarterly Report.</w:t>
      </w:r>
    </w:p>
    <w:tbl>
      <w:tblPr>
        <w:tblW w:w="10205" w:type="dxa"/>
        <w:jc w:val="left"/>
        <w:tblInd w:w="0" w:type="dxa"/>
        <w:tblCellMar>
          <w:top w:w="28" w:type="dxa"/>
          <w:left w:w="28" w:type="dxa"/>
          <w:bottom w:w="28" w:type="dxa"/>
          <w:right w:w="28" w:type="dxa"/>
        </w:tblCellMar>
      </w:tblPr>
      <w:tblGrid>
        <w:gridCol w:w="271"/>
        <w:gridCol w:w="239"/>
        <w:gridCol w:w="240"/>
        <w:gridCol w:w="109"/>
        <w:gridCol w:w="109"/>
        <w:gridCol w:w="109"/>
        <w:gridCol w:w="2748"/>
        <w:gridCol w:w="2628"/>
        <w:gridCol w:w="3752"/>
      </w:tblGrid>
      <w:tr>
        <w:trPr/>
        <w:tc>
          <w:tcPr>
            <w:tcW w:w="27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2628" w:type="dxa"/>
            <w:tcBorders/>
            <w:shd w:fill="auto" w:val="clear"/>
            <w:vAlign w:val="center"/>
          </w:tcPr>
          <w:p>
            <w:pPr>
              <w:pStyle w:val="TableContents"/>
              <w:spacing w:before="0" w:after="283"/>
              <w:rPr>
                <w:sz w:val="4"/>
                <w:szCs w:val="4"/>
              </w:rPr>
            </w:pPr>
            <w:r>
              <w:rPr>
                <w:sz w:val="4"/>
                <w:szCs w:val="4"/>
              </w:rPr>
            </w:r>
          </w:p>
        </w:tc>
        <w:tc>
          <w:tcPr>
            <w:tcW w:w="3752"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20"/>
                  <w:u w:val="single"/>
                </w:rPr>
                <w:t xml:space="preserve">Amended and Restated Certificate of Incorporation of the Company (incorporated by reference to Exhibit 3.1 to the Registrant’s Current Report on Form 8-K filed with the SEC on August 27, 2021). </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the Company (incorporated by reference to Exhibit 3.1 to the Registrant’s Current Report on Form 8-K (File No. 001-38560) filed with the SEC on December 7, 2022).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Pr>
                <w:t>Amendment No.1 to the Negotiated Purchase Order Terms and Conditions for Clinical and Commercial Product, dated as of January 16, 2023, by and between Aadi Bioscience, Inc. and Fresenius Kabi, LLC</w:t>
              </w:r>
            </w:hyperlink>
            <w:hyperlink r:id="rId5">
              <w:r>
                <w:rPr>
                  <w:rStyle w:val="InternetLink"/>
                </w:rPr>
                <w:t xml:space="preserve"> </w:t>
              </w:r>
            </w:hyperlink>
            <w:hyperlink r:id="rId6">
              <w:r>
                <w:rPr>
                  <w:rStyle w:val="InternetLink"/>
                </w:rPr>
                <w:t>(incorporated by reference to Exhibit 10.</w:t>
              </w:r>
            </w:hyperlink>
            <w:hyperlink r:id="rId7">
              <w:r>
                <w:rPr>
                  <w:rStyle w:val="InternetLink"/>
                </w:rPr>
                <w:t>2</w:t>
              </w:r>
            </w:hyperlink>
            <w:hyperlink r:id="rId8">
              <w:r>
                <w:rPr>
                  <w:rStyle w:val="InternetLink"/>
                </w:rPr>
                <w:t>1</w:t>
              </w:r>
            </w:hyperlink>
            <w:hyperlink r:id="rId9">
              <w:r>
                <w:rPr>
                  <w:rStyle w:val="InternetLink"/>
                </w:rPr>
                <w:t xml:space="preserve"> to the Registrant’s </w:t>
              </w:r>
            </w:hyperlink>
            <w:hyperlink r:id="rId10">
              <w:r>
                <w:rPr>
                  <w:rStyle w:val="InternetLink"/>
                </w:rPr>
                <w:t>Annual</w:t>
              </w:r>
            </w:hyperlink>
            <w:hyperlink r:id="rId11">
              <w:r>
                <w:rPr>
                  <w:rStyle w:val="InternetLink"/>
                </w:rPr>
                <w:t xml:space="preserve"> Report on Form 10-</w:t>
              </w:r>
            </w:hyperlink>
            <w:hyperlink r:id="rId12">
              <w:r>
                <w:rPr>
                  <w:rStyle w:val="InternetLink"/>
                </w:rPr>
                <w:t>K</w:t>
              </w:r>
            </w:hyperlink>
            <w:hyperlink r:id="rId13">
              <w:r>
                <w:rPr>
                  <w:rStyle w:val="InternetLink"/>
                </w:rPr>
                <w:t xml:space="preserve"> (File No. 001-38560) filed with the SEC on </w:t>
              </w:r>
            </w:hyperlink>
            <w:hyperlink r:id="rId14">
              <w:r>
                <w:rPr>
                  <w:rStyle w:val="InternetLink"/>
                </w:rPr>
                <w:t>March 29</w:t>
              </w:r>
            </w:hyperlink>
            <w:hyperlink r:id="rId15">
              <w:r>
                <w:rPr>
                  <w:rStyle w:val="InternetLink"/>
                </w:rPr>
                <w:t>, 202</w:t>
              </w:r>
            </w:hyperlink>
            <w:hyperlink r:id="rId16">
              <w:r>
                <w:rPr>
                  <w:rStyle w:val="InternetLink"/>
                </w:rPr>
                <w:t>3</w:t>
              </w:r>
            </w:hyperlink>
            <w:hyperlink r:id="rId17">
              <w:r>
                <w:rPr>
                  <w:rStyle w:val="InternetLink"/>
                </w:rPr>
                <w:t>)</w:t>
              </w:r>
            </w:hyperlink>
            <w:hyperlink r:id="rId18">
              <w:r>
                <w:rPr>
                  <w:rStyle w:val="InternetLink"/>
                </w:rPr>
                <w:t>.</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adi-20230331xex31.htm">
              <w:r>
                <w:rPr>
                  <w:rStyle w:val="InternetLink"/>
                  <w:rFonts w:ascii="Times New Roman;sans-serif" w:hAnsi="Times New Roman;sans-serif"/>
                  <w:b w:val="false"/>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adi-20230331xex32.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20" w:after="283"/>
        <w:ind w:left="0" w:right="0" w:hanging="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The certification furnished in Exhibit 32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spacing w:lineRule="auto" w:line="288" w:before="120" w:after="283"/>
        <w:ind w:left="0" w:right="0" w:hanging="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Portions of this exhibit have been omitted pursuant to Item 601(b)(10)(iv)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240" w:after="283"/>
        <w:rPr/>
      </w:pPr>
      <w:hyperlink w:anchor="i59e471b297954e588f4c116b515dae09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215" w:type="dxa"/>
        <w:jc w:val="left"/>
        <w:tblInd w:w="0" w:type="dxa"/>
        <w:tblCellMar>
          <w:top w:w="28" w:type="dxa"/>
          <w:left w:w="28" w:type="dxa"/>
          <w:bottom w:w="28" w:type="dxa"/>
          <w:right w:w="28" w:type="dxa"/>
        </w:tblCellMar>
      </w:tblPr>
      <w:tblGrid>
        <w:gridCol w:w="629"/>
        <w:gridCol w:w="554"/>
        <w:gridCol w:w="557"/>
        <w:gridCol w:w="352"/>
        <w:gridCol w:w="352"/>
        <w:gridCol w:w="352"/>
        <w:gridCol w:w="1872"/>
        <w:gridCol w:w="1872"/>
        <w:gridCol w:w="267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AADI BIOSCIENCE,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 Scott Giacobello</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Interim Chief Executive Officer and President, and 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Scott Giacobello, certify that:</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564" w:type="dxa"/>
        <w:jc w:val="left"/>
        <w:tblInd w:w="0" w:type="dxa"/>
        <w:tblCellMar>
          <w:top w:w="28" w:type="dxa"/>
          <w:left w:w="28" w:type="dxa"/>
          <w:bottom w:w="28" w:type="dxa"/>
          <w:right w:w="28" w:type="dxa"/>
        </w:tblCellMar>
      </w:tblPr>
      <w:tblGrid>
        <w:gridCol w:w="629"/>
        <w:gridCol w:w="554"/>
        <w:gridCol w:w="557"/>
        <w:gridCol w:w="134"/>
        <w:gridCol w:w="134"/>
        <w:gridCol w:w="136"/>
        <w:gridCol w:w="1874"/>
        <w:gridCol w:w="1874"/>
        <w:gridCol w:w="267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67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0"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Interim Chief Executive Officer and President, and Chief Financial Officer</w:t>
              <w:br/>
              <w:t xml:space="preserve">(Principal Executive Officer and </w:t>
              <w:b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24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March 31, 2023 as filed with the Securities and Exchange Commission on the date hereof (the “Report”), I certify, pursuant to 18 U.S.C. § 1350, as adopted pursuant to § 906 of the Sarbanes-Oxley Act of 2002, that to my knowledge:</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8564" w:type="dxa"/>
        <w:jc w:val="left"/>
        <w:tblInd w:w="0" w:type="dxa"/>
        <w:tblCellMar>
          <w:top w:w="28" w:type="dxa"/>
          <w:left w:w="28" w:type="dxa"/>
          <w:bottom w:w="28" w:type="dxa"/>
          <w:right w:w="28" w:type="dxa"/>
        </w:tblCellMar>
      </w:tblPr>
      <w:tblGrid>
        <w:gridCol w:w="629"/>
        <w:gridCol w:w="554"/>
        <w:gridCol w:w="557"/>
        <w:gridCol w:w="134"/>
        <w:gridCol w:w="134"/>
        <w:gridCol w:w="136"/>
        <w:gridCol w:w="1874"/>
        <w:gridCol w:w="1874"/>
        <w:gridCol w:w="267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67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Interim Chief Executive Officer and President, and Chief Financial Officer</w:t>
              <w:br/>
              <w:t xml:space="preserve">(Principal Executive Officer and </w:t>
              <w:b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2142/000119312521257910/d119681dex31.htm" TargetMode="External"/><Relationship Id="rId3" Type="http://schemas.openxmlformats.org/officeDocument/2006/relationships/hyperlink" Target="http://www.sec.gov/Archives/edgar/data/1422142/000119312521257910/d119681dex32.htm" TargetMode="External"/><Relationship Id="rId4" Type="http://schemas.openxmlformats.org/officeDocument/2006/relationships/hyperlink" Target="https://www.sec.gov/Archives/edgar/data/1422142/000162828023009583/aadi-20221231xex1021xnegot.htm" TargetMode="External"/><Relationship Id="rId5" Type="http://schemas.openxmlformats.org/officeDocument/2006/relationships/hyperlink" Target="https://www.sec.gov/Archives/edgar/data/1422142/000162828023009583/aadi-20221231xex1021xnegot.htm" TargetMode="External"/><Relationship Id="rId6" Type="http://schemas.openxmlformats.org/officeDocument/2006/relationships/hyperlink" Target="https://www.sec.gov/Archives/edgar/data/1422142/000162828023009583/aadi-20221231xex1021xnegot.htm" TargetMode="External"/><Relationship Id="rId7" Type="http://schemas.openxmlformats.org/officeDocument/2006/relationships/hyperlink" Target="https://www.sec.gov/Archives/edgar/data/1422142/000162828023009583/aadi-20221231xex1021xnegot.htm" TargetMode="External"/><Relationship Id="rId8" Type="http://schemas.openxmlformats.org/officeDocument/2006/relationships/hyperlink" Target="https://www.sec.gov/Archives/edgar/data/1422142/000162828023009583/aadi-20221231xex1021xnegot.htm" TargetMode="External"/><Relationship Id="rId9" Type="http://schemas.openxmlformats.org/officeDocument/2006/relationships/hyperlink" Target="https://www.sec.gov/Archives/edgar/data/1422142/000162828023009583/aadi-20221231xex1021xnegot.htm" TargetMode="External"/><Relationship Id="rId10" Type="http://schemas.openxmlformats.org/officeDocument/2006/relationships/hyperlink" Target="https://www.sec.gov/Archives/edgar/data/1422142/000162828023009583/aadi-20221231xex1021xnegot.htm" TargetMode="External"/><Relationship Id="rId11" Type="http://schemas.openxmlformats.org/officeDocument/2006/relationships/hyperlink" Target="https://www.sec.gov/Archives/edgar/data/1422142/000162828023009583/aadi-20221231xex1021xnegot.htm" TargetMode="External"/><Relationship Id="rId12" Type="http://schemas.openxmlformats.org/officeDocument/2006/relationships/hyperlink" Target="https://www.sec.gov/Archives/edgar/data/1422142/000162828023009583/aadi-20221231xex1021xnegot.htm" TargetMode="External"/><Relationship Id="rId13" Type="http://schemas.openxmlformats.org/officeDocument/2006/relationships/hyperlink" Target="https://www.sec.gov/Archives/edgar/data/1422142/000162828023009583/aadi-20221231xex1021xnegot.htm" TargetMode="External"/><Relationship Id="rId14" Type="http://schemas.openxmlformats.org/officeDocument/2006/relationships/hyperlink" Target="https://www.sec.gov/Archives/edgar/data/1422142/000162828023009583/aadi-20221231xex1021xnegot.htm" TargetMode="External"/><Relationship Id="rId15" Type="http://schemas.openxmlformats.org/officeDocument/2006/relationships/hyperlink" Target="https://www.sec.gov/Archives/edgar/data/1422142/000162828023009583/aadi-20221231xex1021xnegot.htm" TargetMode="External"/><Relationship Id="rId16" Type="http://schemas.openxmlformats.org/officeDocument/2006/relationships/hyperlink" Target="https://www.sec.gov/Archives/edgar/data/1422142/000162828023009583/aadi-20221231xex1021xnegot.htm" TargetMode="External"/><Relationship Id="rId17" Type="http://schemas.openxmlformats.org/officeDocument/2006/relationships/hyperlink" Target="https://www.sec.gov/Archives/edgar/data/1422142/000162828023009583/aadi-20221231xex1021xnegot.htm" TargetMode="External"/><Relationship Id="rId18" Type="http://schemas.openxmlformats.org/officeDocument/2006/relationships/hyperlink" Target="https://www.sec.gov/Archives/edgar/data/1422142/000162828023009583/aadi-20221231xex1021xnegot.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76768</Words>
  <CharactersWithSpaces>506446</CharactersWithSpaces>
  <Paragraphs>2392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