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color w:val="auto"/>
        </w:rPr>
        <w:t>_______________________________________________</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3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color w:val="auto"/>
        </w:rPr>
        <w:t>_______________________________________________</w:t>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5"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23" w:lineRule="exact"/>
        <w:rPr>
          <w:sz w:val="24"/>
          <w:szCs w:val="24"/>
          <w:color w:val="auto"/>
        </w:rPr>
      </w:pPr>
    </w:p>
    <w:p>
      <w:pPr>
        <w:ind w:left="4760" w:right="3620" w:hanging="4734"/>
        <w:spacing w:after="0" w:line="462" w:lineRule="auto"/>
        <w:tabs>
          <w:tab w:leader="none" w:pos="318"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001-38560</w:t>
      </w:r>
    </w:p>
    <w:p>
      <w:pPr>
        <w:spacing w:after="0" w:line="29"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color w:val="auto"/>
        </w:rPr>
        <w:t>_______________________________________________</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AADI BIOSCIENCE, INC.</w:t>
      </w:r>
    </w:p>
    <w:p>
      <w:pPr>
        <w:spacing w:after="0" w:line="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9"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color w:val="auto"/>
        </w:rPr>
        <w:t>_______________________________________________</w:t>
      </w:r>
    </w:p>
    <w:p>
      <w:pPr>
        <w:spacing w:after="0" w:line="94"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4840" w:type="dxa"/>
            <w:vAlign w:val="bottom"/>
            <w:gridSpan w:val="2"/>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80" w:type="dxa"/>
            <w:vAlign w:val="bottom"/>
          </w:tcPr>
          <w:p>
            <w:pPr>
              <w:jc w:val="right"/>
              <w:ind w:right="2408"/>
              <w:spacing w:after="0"/>
              <w:rPr>
                <w:sz w:val="20"/>
                <w:szCs w:val="20"/>
                <w:color w:val="auto"/>
              </w:rPr>
            </w:pPr>
            <w:r>
              <w:rPr>
                <w:rFonts w:ascii="Times New Roman" w:cs="Times New Roman" w:eastAsia="Times New Roman" w:hAnsi="Times New Roman"/>
                <w:sz w:val="14"/>
                <w:szCs w:val="14"/>
                <w:b w:val="1"/>
                <w:bCs w:val="1"/>
                <w:color w:val="auto"/>
              </w:rPr>
              <w:t>61-1547850</w:t>
            </w:r>
          </w:p>
        </w:tc>
      </w:tr>
      <w:tr>
        <w:trPr>
          <w:trHeight w:val="161"/>
        </w:trPr>
        <w:tc>
          <w:tcPr>
            <w:tcW w:w="4840" w:type="dxa"/>
            <w:vAlign w:val="bottom"/>
            <w:gridSpan w:val="2"/>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80" w:type="dxa"/>
            <w:vAlign w:val="bottom"/>
          </w:tcPr>
          <w:p>
            <w:pPr>
              <w:jc w:val="center"/>
              <w:ind w:right="208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9"/>
        </w:trPr>
        <w:tc>
          <w:tcPr>
            <w:tcW w:w="4840" w:type="dxa"/>
            <w:vAlign w:val="bottom"/>
            <w:gridSpan w:val="2"/>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80" w:type="dxa"/>
            <w:vAlign w:val="bottom"/>
          </w:tcPr>
          <w:p>
            <w:pPr>
              <w:jc w:val="center"/>
              <w:ind w:right="210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190"/>
        </w:trPr>
        <w:tc>
          <w:tcPr>
            <w:tcW w:w="4840" w:type="dxa"/>
            <w:vAlign w:val="bottom"/>
            <w:gridSpan w:val="2"/>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17383 Sunset Boulevard Suite A250, Pacific Palisades, CA</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80" w:type="dxa"/>
            <w:vAlign w:val="bottom"/>
          </w:tcPr>
          <w:p>
            <w:pPr>
              <w:jc w:val="right"/>
              <w:ind w:right="2568"/>
              <w:spacing w:after="0"/>
              <w:rPr>
                <w:sz w:val="20"/>
                <w:szCs w:val="20"/>
                <w:color w:val="auto"/>
              </w:rPr>
            </w:pPr>
            <w:r>
              <w:rPr>
                <w:rFonts w:ascii="Times New Roman" w:cs="Times New Roman" w:eastAsia="Times New Roman" w:hAnsi="Times New Roman"/>
                <w:sz w:val="14"/>
                <w:szCs w:val="14"/>
                <w:b w:val="1"/>
                <w:bCs w:val="1"/>
                <w:color w:val="auto"/>
              </w:rPr>
              <w:t>90272</w:t>
            </w:r>
          </w:p>
        </w:tc>
      </w:tr>
      <w:tr>
        <w:trPr>
          <w:trHeight w:val="203"/>
        </w:trPr>
        <w:tc>
          <w:tcPr>
            <w:tcW w:w="4840" w:type="dxa"/>
            <w:vAlign w:val="bottom"/>
            <w:gridSpan w:val="2"/>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80" w:type="dxa"/>
            <w:vAlign w:val="bottom"/>
          </w:tcPr>
          <w:p>
            <w:pPr>
              <w:jc w:val="center"/>
              <w:ind w:right="210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4"/>
        </w:trPr>
        <w:tc>
          <w:tcPr>
            <w:tcW w:w="7780" w:type="dxa"/>
            <w:vAlign w:val="bottom"/>
            <w:gridSpan w:val="4"/>
          </w:tcPr>
          <w:p>
            <w:pPr>
              <w:jc w:val="center"/>
              <w:ind w:left="340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(424) 744-8055</w:t>
            </w:r>
          </w:p>
        </w:tc>
        <w:tc>
          <w:tcPr>
            <w:tcW w:w="3480" w:type="dxa"/>
            <w:vAlign w:val="bottom"/>
          </w:tcPr>
          <w:p>
            <w:pPr>
              <w:spacing w:after="0"/>
              <w:rPr>
                <w:sz w:val="24"/>
                <w:szCs w:val="24"/>
                <w:color w:val="auto"/>
              </w:rPr>
            </w:pPr>
          </w:p>
        </w:tc>
      </w:tr>
      <w:tr>
        <w:trPr>
          <w:trHeight w:val="188"/>
        </w:trPr>
        <w:tc>
          <w:tcPr>
            <w:tcW w:w="7500" w:type="dxa"/>
            <w:vAlign w:val="bottom"/>
            <w:gridSpan w:val="3"/>
          </w:tcPr>
          <w:p>
            <w:pPr>
              <w:jc w:val="center"/>
              <w:ind w:left="3688"/>
              <w:spacing w:after="0"/>
              <w:rPr>
                <w:sz w:val="20"/>
                <w:szCs w:val="20"/>
                <w:color w:val="auto"/>
              </w:rPr>
            </w:pPr>
            <w:r>
              <w:rPr>
                <w:rFonts w:ascii="Times New Roman" w:cs="Times New Roman" w:eastAsia="Times New Roman" w:hAnsi="Times New Roman"/>
                <w:sz w:val="14"/>
                <w:szCs w:val="14"/>
                <w:color w:val="auto"/>
              </w:rPr>
              <w:t>_______________________________________________</w:t>
            </w:r>
          </w:p>
        </w:tc>
        <w:tc>
          <w:tcPr>
            <w:tcW w:w="280" w:type="dxa"/>
            <w:vAlign w:val="bottom"/>
          </w:tcPr>
          <w:p>
            <w:pPr>
              <w:spacing w:after="0"/>
              <w:rPr>
                <w:sz w:val="16"/>
                <w:szCs w:val="16"/>
                <w:color w:val="auto"/>
              </w:rPr>
            </w:pPr>
          </w:p>
        </w:tc>
        <w:tc>
          <w:tcPr>
            <w:tcW w:w="3480" w:type="dxa"/>
            <w:vAlign w:val="bottom"/>
          </w:tcPr>
          <w:p>
            <w:pPr>
              <w:spacing w:after="0"/>
              <w:rPr>
                <w:sz w:val="16"/>
                <w:szCs w:val="16"/>
                <w:color w:val="auto"/>
              </w:rPr>
            </w:pPr>
          </w:p>
        </w:tc>
      </w:tr>
      <w:tr>
        <w:trPr>
          <w:trHeight w:val="243"/>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80" w:type="dxa"/>
            <w:vAlign w:val="bottom"/>
          </w:tcPr>
          <w:p>
            <w:pPr>
              <w:spacing w:after="0"/>
              <w:rPr>
                <w:sz w:val="21"/>
                <w:szCs w:val="21"/>
                <w:color w:val="auto"/>
              </w:rPr>
            </w:pPr>
          </w:p>
        </w:tc>
      </w:tr>
      <w:tr>
        <w:trPr>
          <w:trHeight w:val="104"/>
        </w:trPr>
        <w:tc>
          <w:tcPr>
            <w:tcW w:w="37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r>
      <w:tr>
        <w:trPr>
          <w:trHeight w:val="19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080" w:type="dxa"/>
            <w:vAlign w:val="bottom"/>
            <w:tcBorders>
              <w:bottom w:val="single" w:sz="8" w:color="auto"/>
            </w:tcBorders>
          </w:tcPr>
          <w:p>
            <w:pPr>
              <w:spacing w:after="0"/>
              <w:rPr>
                <w:sz w:val="16"/>
                <w:szCs w:val="16"/>
                <w:color w:val="auto"/>
              </w:rPr>
            </w:pPr>
          </w:p>
        </w:tc>
        <w:tc>
          <w:tcPr>
            <w:tcW w:w="2660" w:type="dxa"/>
            <w:vAlign w:val="bottom"/>
            <w:tcBorders>
              <w:bottom w:val="single" w:sz="8" w:color="auto"/>
              <w:right w:val="single" w:sz="8" w:color="auto"/>
            </w:tcBorders>
          </w:tcPr>
          <w:p>
            <w:pPr>
              <w:jc w:val="center"/>
              <w:ind w:right="1028"/>
              <w:spacing w:after="0"/>
              <w:rPr>
                <w:sz w:val="20"/>
                <w:szCs w:val="20"/>
                <w:color w:val="auto"/>
              </w:rPr>
            </w:pPr>
            <w:r>
              <w:rPr>
                <w:rFonts w:ascii="Times New Roman" w:cs="Times New Roman" w:eastAsia="Times New Roman" w:hAnsi="Times New Roman"/>
                <w:sz w:val="14"/>
                <w:szCs w:val="14"/>
                <w:color w:val="auto"/>
              </w:rPr>
              <w:t>Trading Symbol(s)</w:t>
            </w:r>
          </w:p>
        </w:tc>
        <w:tc>
          <w:tcPr>
            <w:tcW w:w="280" w:type="dxa"/>
            <w:vAlign w:val="bottom"/>
            <w:tcBorders>
              <w:bottom w:val="single" w:sz="8" w:color="auto"/>
            </w:tcBorders>
          </w:tcPr>
          <w:p>
            <w:pPr>
              <w:spacing w:after="0"/>
              <w:rPr>
                <w:sz w:val="16"/>
                <w:szCs w:val="16"/>
                <w:color w:val="auto"/>
              </w:rPr>
            </w:pPr>
          </w:p>
        </w:tc>
        <w:tc>
          <w:tcPr>
            <w:tcW w:w="3480" w:type="dxa"/>
            <w:vAlign w:val="bottom"/>
            <w:tcBorders>
              <w:bottom w:val="single" w:sz="8" w:color="auto"/>
              <w:right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$0.0001 par value per share</w:t>
            </w:r>
          </w:p>
        </w:tc>
        <w:tc>
          <w:tcPr>
            <w:tcW w:w="1080" w:type="dxa"/>
            <w:vAlign w:val="bottom"/>
            <w:tcBorders>
              <w:bottom w:val="single" w:sz="8" w:color="auto"/>
            </w:tcBorders>
          </w:tcPr>
          <w:p>
            <w:pPr>
              <w:spacing w:after="0"/>
              <w:rPr>
                <w:sz w:val="17"/>
                <w:szCs w:val="17"/>
                <w:color w:val="auto"/>
              </w:rPr>
            </w:pPr>
          </w:p>
        </w:tc>
        <w:tc>
          <w:tcPr>
            <w:tcW w:w="2660" w:type="dxa"/>
            <w:vAlign w:val="bottom"/>
            <w:tcBorders>
              <w:bottom w:val="single" w:sz="8" w:color="auto"/>
              <w:right w:val="single" w:sz="8" w:color="auto"/>
            </w:tcBorders>
          </w:tcPr>
          <w:p>
            <w:pPr>
              <w:jc w:val="center"/>
              <w:ind w:right="1028"/>
              <w:spacing w:after="0"/>
              <w:rPr>
                <w:sz w:val="20"/>
                <w:szCs w:val="20"/>
                <w:color w:val="auto"/>
              </w:rPr>
            </w:pPr>
            <w:r>
              <w:rPr>
                <w:rFonts w:ascii="Times New Roman" w:cs="Times New Roman" w:eastAsia="Times New Roman" w:hAnsi="Times New Roman"/>
                <w:sz w:val="14"/>
                <w:szCs w:val="14"/>
                <w:color w:val="auto"/>
              </w:rPr>
              <w:t>AADI</w:t>
            </w:r>
          </w:p>
        </w:tc>
        <w:tc>
          <w:tcPr>
            <w:tcW w:w="280" w:type="dxa"/>
            <w:vAlign w:val="bottom"/>
            <w:tcBorders>
              <w:bottom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98" w:lineRule="exact"/>
        <w:rPr>
          <w:sz w:val="24"/>
          <w:szCs w:val="24"/>
          <w:color w:val="auto"/>
        </w:rPr>
      </w:pPr>
    </w:p>
    <w:p>
      <w:pPr>
        <w:ind w:right="3680"/>
        <w:spacing w:after="0" w:line="372"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ind w:right="24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ind w:right="1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ind w:right="46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9" w:right="319" w:bottom="1440" w:gutter="0" w:footer="0" w:header="0"/>
        </w:sectPr>
      </w:pPr>
    </w:p>
    <w:p>
      <w:pPr>
        <w:spacing w:after="0" w:line="5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00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4480" w:type="dxa"/>
            <w:vAlign w:val="bottom"/>
          </w:tcPr>
          <w:p>
            <w:pPr>
              <w:ind w:left="1860"/>
              <w:spacing w:after="0"/>
              <w:rPr>
                <w:sz w:val="20"/>
                <w:szCs w:val="20"/>
                <w:color w:val="auto"/>
              </w:rPr>
            </w:pPr>
            <w:r>
              <w:rPr>
                <w:rFonts w:ascii="Times New Roman" w:cs="Times New Roman" w:eastAsia="Times New Roman" w:hAnsi="Times New Roman"/>
                <w:sz w:val="14"/>
                <w:szCs w:val="14"/>
                <w:color w:val="auto"/>
              </w:rPr>
              <w:t>Accelerated filer</w:t>
            </w:r>
          </w:p>
        </w:tc>
        <w:tc>
          <w:tcPr>
            <w:tcW w:w="1220" w:type="dxa"/>
            <w:vAlign w:val="bottom"/>
          </w:tcPr>
          <w:p>
            <w:pPr>
              <w:jc w:val="right"/>
              <w:spacing w:after="0"/>
              <w:rPr>
                <w:sz w:val="20"/>
                <w:szCs w:val="20"/>
                <w:color w:val="auto"/>
              </w:rPr>
            </w:pPr>
            <w:r>
              <w:rPr>
                <w:rFonts w:ascii="Wingdings" w:cs="Wingdings" w:eastAsia="Wingdings" w:hAnsi="Wingdings"/>
                <w:sz w:val="14"/>
                <w:szCs w:val="14"/>
                <w:b w:val="1"/>
                <w:bCs w:val="1"/>
                <w:color w:val="auto"/>
              </w:rPr>
              <w:t>o</w:t>
            </w:r>
          </w:p>
        </w:tc>
      </w:tr>
      <w:tr>
        <w:trPr>
          <w:trHeight w:val="203"/>
        </w:trPr>
        <w:tc>
          <w:tcPr>
            <w:tcW w:w="2000" w:type="dxa"/>
            <w:vAlign w:val="bottom"/>
          </w:tcPr>
          <w:p>
            <w:pPr>
              <w:spacing w:after="0"/>
              <w:rPr>
                <w:sz w:val="20"/>
                <w:szCs w:val="20"/>
                <w:color w:val="auto"/>
              </w:rPr>
            </w:pPr>
            <w:r>
              <w:rPr>
                <w:rFonts w:ascii="Wingdings" w:cs="Wingdings" w:eastAsia="Wingdings" w:hAnsi="Wingdings"/>
                <w:sz w:val="14"/>
                <w:szCs w:val="14"/>
                <w:b w:val="1"/>
                <w:bCs w:val="1"/>
                <w:color w:val="auto"/>
              </w:rPr>
              <w:t>x</w:t>
            </w:r>
          </w:p>
        </w:tc>
        <w:tc>
          <w:tcPr>
            <w:tcW w:w="4480" w:type="dxa"/>
            <w:vAlign w:val="bottom"/>
          </w:tcPr>
          <w:p>
            <w:pPr>
              <w:ind w:left="18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220" w:type="dxa"/>
            <w:vAlign w:val="bottom"/>
          </w:tcPr>
          <w:p>
            <w:pPr>
              <w:jc w:val="right"/>
              <w:spacing w:after="0"/>
              <w:rPr>
                <w:sz w:val="20"/>
                <w:szCs w:val="20"/>
                <w:color w:val="auto"/>
              </w:rPr>
            </w:pPr>
            <w:r>
              <w:rPr>
                <w:rFonts w:ascii="Wingdings" w:cs="Wingdings" w:eastAsia="Wingdings" w:hAnsi="Wingdings"/>
                <w:sz w:val="14"/>
                <w:szCs w:val="14"/>
                <w:b w:val="1"/>
                <w:bCs w:val="1"/>
                <w:color w:val="auto"/>
              </w:rPr>
              <w:t>x</w:t>
            </w:r>
          </w:p>
        </w:tc>
      </w:tr>
      <w:tr>
        <w:trPr>
          <w:trHeight w:val="202"/>
        </w:trPr>
        <w:tc>
          <w:tcPr>
            <w:tcW w:w="200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448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spacing w:after="0" w:line="163" w:lineRule="exact"/>
        <w:rPr>
          <w:sz w:val="24"/>
          <w:szCs w:val="24"/>
          <w:color w:val="auto"/>
        </w:rPr>
      </w:pPr>
    </w:p>
    <w:p>
      <w:pPr>
        <w:sectPr>
          <w:pgSz w:w="11900" w:h="16838" w:orient="portrait"/>
          <w:cols w:equalWidth="0" w:num="2">
            <w:col w:w="2800" w:space="720"/>
            <w:col w:w="7740"/>
          </w:cols>
          <w:pgMar w:left="320" w:top="229" w:right="319" w:bottom="1440" w:gutter="0" w:footer="0" w:header="0"/>
          <w:type w:val="continuous"/>
        </w:sectPr>
      </w:pPr>
    </w:p>
    <w:p>
      <w:pPr>
        <w:ind w:right="580"/>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ind w:right="8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o</w:t>
      </w:r>
    </w:p>
    <w:p>
      <w:pPr>
        <w:ind w:right="140"/>
        <w:spacing w:after="0" w:line="322"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176" w:lineRule="exact"/>
        <w:rPr>
          <w:sz w:val="24"/>
          <w:szCs w:val="24"/>
          <w:color w:val="auto"/>
        </w:rPr>
      </w:pPr>
    </w:p>
    <w:p>
      <w:pPr>
        <w:ind w:right="300"/>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82" w:lineRule="exact"/>
        <w:rPr>
          <w:sz w:val="24"/>
          <w:szCs w:val="24"/>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based on the closing price of the shares of common stock on The NASDAQ Stock Market on June 30, 2023 was approximately $110.8 million.</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March 8, 2024 was 24,554,205.</w:t>
      </w:r>
    </w:p>
    <w:p>
      <w:pPr>
        <w:spacing w:after="0" w:line="8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327" w:lineRule="exact"/>
        <w:rPr>
          <w:sz w:val="24"/>
          <w:szCs w:val="24"/>
          <w:color w:val="auto"/>
        </w:rPr>
      </w:pPr>
    </w:p>
    <w:p>
      <w:pPr>
        <w:jc w:val="both"/>
        <w:ind w:right="20"/>
        <w:spacing w:after="0" w:line="269"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its 2024 Annual Meeting of Stockholders to be filed with the Securities and Exchange Commission pursuant to Regulation 14A not later than 120 days after the end of the fiscal year covered by this Annual Report on Form 10-K are incorporated herein by reference in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843915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40" w:type="dxa"/>
            <w:vAlign w:val="bottom"/>
            <w:gridSpan w:val="9"/>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4"/>
        </w:trPr>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3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3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6"/>
              </w:rPr>
              <w:t>Business</w:t>
            </w:r>
          </w:p>
        </w:tc>
        <w:tc>
          <w:tcPr>
            <w:tcW w:w="8320" w:type="dxa"/>
            <w:vAlign w:val="bottom"/>
            <w:gridSpan w:val="22"/>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1A.</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1B.</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920" w:type="dxa"/>
            <w:vAlign w:val="bottom"/>
            <w:gridSpan w:val="12"/>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960" w:type="dxa"/>
            <w:vAlign w:val="bottom"/>
            <w:gridSpan w:val="18"/>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620" w:type="dxa"/>
            <w:vAlign w:val="bottom"/>
            <w:gridSpan w:val="16"/>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0"/>
        </w:trPr>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45"/>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96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50"/>
        </w:trPr>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9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00" w:type="dxa"/>
            <w:vAlign w:val="bottom"/>
            <w:gridSpan w:val="4"/>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9"/>
        </w:trPr>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00" w:type="dxa"/>
            <w:vAlign w:val="bottom"/>
            <w:gridSpan w:val="7"/>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0"/>
        </w:trPr>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8.</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480" w:type="dxa"/>
            <w:vAlign w:val="bottom"/>
            <w:gridSpan w:val="3"/>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9"/>
        </w:trPr>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9A.</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9"/>
        </w:trPr>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7200" w:type="dxa"/>
            <w:vAlign w:val="bottom"/>
            <w:gridSpan w:val="14"/>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9"/>
        </w:trPr>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9C.</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45"/>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896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9"/>
        </w:trPr>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5"/>
          </w:tcPr>
          <w:p>
            <w:pPr>
              <w:spacing w:after="0"/>
              <w:rPr>
                <w:sz w:val="18"/>
                <w:szCs w:val="18"/>
                <w:color w:val="auto"/>
              </w:rPr>
            </w:pPr>
          </w:p>
        </w:tc>
        <w:tc>
          <w:tcPr>
            <w:tcW w:w="4880" w:type="dxa"/>
            <w:vAlign w:val="bottom"/>
            <w:gridSpan w:val="8"/>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0"/>
        </w:trPr>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12.</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0"/>
        </w:trPr>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680" w:type="dxa"/>
            <w:vAlign w:val="bottom"/>
            <w:gridSpan w:val="2"/>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9"/>
        </w:trPr>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520" w:type="dxa"/>
            <w:vAlign w:val="bottom"/>
            <w:gridSpan w:val="5"/>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45"/>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3"/>
          </w:tcPr>
          <w:p>
            <w:pPr>
              <w:spacing w:after="0" w:line="194" w:lineRule="exact"/>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800" w:type="dxa"/>
            <w:vAlign w:val="bottom"/>
            <w:gridSpan w:val="10"/>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0"/>
        </w:trPr>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16.</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of 10-K Summary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925"/>
        </w:trPr>
        <w:tc>
          <w:tcPr>
            <w:tcW w:w="1380" w:type="dxa"/>
            <w:vAlign w:val="bottom"/>
          </w:tcPr>
          <w:p>
            <w:pPr>
              <w:spacing w:after="0"/>
              <w:rPr>
                <w:sz w:val="24"/>
                <w:szCs w:val="24"/>
                <w:color w:val="auto"/>
              </w:rPr>
            </w:pPr>
          </w:p>
        </w:tc>
        <w:tc>
          <w:tcPr>
            <w:tcW w:w="1740" w:type="dxa"/>
            <w:vAlign w:val="bottom"/>
            <w:tcBorders>
              <w:top w:val="single" w:sz="8" w:color="0000FF"/>
            </w:tcBorders>
            <w:gridSpan w:val="8"/>
          </w:tcPr>
          <w:p>
            <w:pPr>
              <w:spacing w:after="0"/>
              <w:rPr>
                <w:sz w:val="24"/>
                <w:szCs w:val="24"/>
                <w:color w:val="auto"/>
              </w:rPr>
            </w:pPr>
          </w:p>
        </w:tc>
        <w:tc>
          <w:tcPr>
            <w:tcW w:w="2620" w:type="dxa"/>
            <w:vAlign w:val="bottom"/>
            <w:gridSpan w:val="8"/>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on Form 10-K (“Annual Report”) contains express or implied forward-looking statements which are made pursuant to the safe harbor provisions of Section 27A of the Securities Act of 1933, as amended (the “Securities Act”), and Section 21E of the Securities Exchange Act of 1934, as amended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Annual Report include, but are not limited to, statements about:</w:t>
      </w:r>
    </w:p>
    <w:p>
      <w:pPr>
        <w:spacing w:after="0" w:line="78" w:lineRule="exact"/>
        <w:rPr>
          <w:sz w:val="20"/>
          <w:szCs w:val="20"/>
          <w:color w:val="auto"/>
        </w:rPr>
      </w:pPr>
    </w:p>
    <w:p>
      <w:pPr>
        <w:jc w:val="both"/>
        <w:ind w:left="980" w:hanging="486"/>
        <w:spacing w:after="0" w:line="23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regulatory approval for FYARRO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advanced malignant perivascular epithelioid cell tumor (“PEComa”), or to obtain and maintain regulatory approval for FYARRO in additional indications, or any other product candidates we may develop in the future, and any related restrictions, limitations or warnings in the label of an approved product candidate;</w:t>
      </w:r>
    </w:p>
    <w:p>
      <w:pPr>
        <w:spacing w:after="0" w:line="9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potential for success relating to commercializing FYARRO, or any other product candidate that we may develop, if approved;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of releasing data for current or future clinical trials;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of commencement, enrollment, and completion of any current or future clinical trials for FYARRO in additional indications, or any other product candidates we may develop in the future;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related to the further development and manufacturing of FYARRO;</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regulatory filings and approvals for FYARRO for advanced malignant PEComa in foreign jurisdictions and any additional indications we may pursue and any other product candidates we may develop in the future;</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regulatory filings and approvals for FYARRO for advanced malignant PEComa in foreign jurisdictions and any additional indications we may pursue and any other product candidates we may develop in the future;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FYARRO and any other product candidates we may develop in the future, if approved;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FYARRO and any other product candidates we may develop in the future, if approved;</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clinical trials for our programs and product candidates, the timing of initiation and completion of studies or trials and related preparatory work, the period during which the results of the trials will become available and our research and development programs;</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enroll suitable patients in our clinical trials;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expectations regarding the beneficial characteristics, safety, efficacy and therapeutic effects of FYARRO and any other product candidates that we may develop in the future;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product candidates into, and successfully complete, clinical studies;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our strategic plans for our business;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or strategic relationships or obtain additional funding;</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and rely on third parties to assist in conducting our clinical trials and manufacturing FYARRO and any other product candidates we may develop in the future;</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FYARRO and any other product candidates we may develop in the future, if approved, and our ability to serve those markets, either alone or in partnership with others;</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commercialize FYARRO and to complete further development, approval and, if approved, commercialization of FYARRO in additional indications and any other product candidates we may develop in the future;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anticipate our existing cash and cash equivalents will be sufficient to fund our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our business development efforts to maximize the potential value of our portfolio;</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companies currently marketing or engaged in the development of treatments for the indications that we are pursuing for FYARRO and any other product candidates we may develop in the future;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for our product candidates;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the legal proceedings related to the termination of the EOC License Agreement (as defined herein);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professionals and to identify, hire and retain additional qualified professionals;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 and</w:t>
      </w:r>
    </w:p>
    <w:p>
      <w:pPr>
        <w:spacing w:after="0" w:line="11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including but not limited to those detailed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are not historical facts, but rather are based on current expectations, estimates, assumptions, and projections about the business and future financial results of the pharmaceutical industry, and other legal, regulatory and economic developments. In some cases, you can identify forward-looking statements by terms such as “may,” “will,” “intend,” “should,” “could,” “would,” “expect,” “plan,” “anticipate,” “believe,” “estimate,” “project,” “predict,” “potential,” “continue,” “likely,” and similar expressions (including their use in the negative)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Part I, Item 1A (Risk Factors) of this Annual Report.</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not place undue reliance on forward-looking statements because they involve known and unknown risks, uncertainties and other factors, which are, in some cases, beyond our control and which could materially affect results.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Annual Report and the documents that we reference in this Annual Report and have filed with or furnished to the U.S. Securities and Exchange Commission (the “SEC”) completely and with the understanding that our actual future results may be materially different from any future results expressed or implied by these forward-looking statements.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Annual Report represent our views as of the date of this Annual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in the following discussion to “we,” “our,” “us,” or “Aadi” refer to Aadi Bioscience, Inc. and its subsidiary.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a biopharmaceutical company focused on developing and commercializing precision therapies for cancers with alterations in the mTOR pathway, a key regulator of cell growth and cancer progression. Our lead drug product, FYARRO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(sirolimus protein-bound particles for injectable suspension (albumin-bound); </w:t>
      </w:r>
      <w:r>
        <w:rPr>
          <w:rFonts w:ascii="Times New Roman" w:cs="Times New Roman" w:eastAsia="Times New Roman" w:hAnsi="Times New Roman"/>
          <w:sz w:val="18"/>
          <w:szCs w:val="18"/>
          <w:i w:val="1"/>
          <w:iCs w:val="1"/>
          <w:color w:val="auto"/>
        </w:rPr>
        <w:t>nab</w:t>
      </w:r>
      <w:r>
        <w:rPr>
          <w:rFonts w:ascii="Times New Roman" w:cs="Times New Roman" w:eastAsia="Times New Roman" w:hAnsi="Times New Roman"/>
          <w:sz w:val="18"/>
          <w:szCs w:val="18"/>
          <w:color w:val="auto"/>
        </w:rPr>
        <w:t>-sirolimus), combines two established technologies - nanoparticle albumin-bound (</w:t>
      </w:r>
      <w:r>
        <w:rPr>
          <w:rFonts w:ascii="Times New Roman" w:cs="Times New Roman" w:eastAsia="Times New Roman" w:hAnsi="Times New Roman"/>
          <w:sz w:val="18"/>
          <w:szCs w:val="18"/>
          <w:i w:val="1"/>
          <w:iCs w:val="1"/>
          <w:color w:val="auto"/>
        </w:rPr>
        <w:t>nab</w:t>
      </w:r>
      <w:r>
        <w:rPr>
          <w:rFonts w:ascii="Times New Roman" w:cs="Times New Roman" w:eastAsia="Times New Roman" w:hAnsi="Times New Roman"/>
          <w:sz w:val="18"/>
          <w:szCs w:val="18"/>
          <w:color w:val="auto"/>
        </w:rPr>
        <w:t xml:space="preserve">) technology and the anti-cancer agent, sirolimus. </w:t>
      </w:r>
      <w:r>
        <w:rPr>
          <w:rFonts w:ascii="Times New Roman" w:cs="Times New Roman" w:eastAsia="Times New Roman" w:hAnsi="Times New Roman"/>
          <w:sz w:val="18"/>
          <w:szCs w:val="18"/>
          <w:i w:val="1"/>
          <w:iCs w:val="1"/>
          <w:color w:val="auto"/>
        </w:rPr>
        <w:t>Nab</w:t>
      </w:r>
      <w:r>
        <w:rPr>
          <w:rFonts w:ascii="Times New Roman" w:cs="Times New Roman" w:eastAsia="Times New Roman" w:hAnsi="Times New Roman"/>
          <w:sz w:val="18"/>
          <w:szCs w:val="18"/>
          <w:color w:val="auto"/>
        </w:rPr>
        <w:t>-sirolimus is a potent inhibitor of the mTOR biological pathway with demonstrated anti-cancer activity in our lead indication, advanced malignant perivascular epithelioid cell tumor (“PEComa”), a rare cancer. We believe our approach to utilizing the novel combination of technologies has the potential to produce transformational therapies for patients with cancers beyond PEComa that have known mTOR pathway activation and/or cancers in which other mTOR inhibitors have not been fully exploited due to problems of pharmacology, effective drug delivery, safety, or effective targeting to the disease site.</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exclusively license FYARRO, previously called ABI-009, </w:t>
      </w:r>
      <w:r>
        <w:rPr>
          <w:rFonts w:ascii="Times New Roman" w:cs="Times New Roman" w:eastAsia="Times New Roman" w:hAnsi="Times New Roman"/>
          <w:sz w:val="18"/>
          <w:szCs w:val="18"/>
          <w:i w:val="1"/>
          <w:iCs w:val="1"/>
          <w:color w:val="auto"/>
        </w:rPr>
        <w:t>nab</w:t>
      </w:r>
      <w:r>
        <w:rPr>
          <w:rFonts w:ascii="Times New Roman" w:cs="Times New Roman" w:eastAsia="Times New Roman" w:hAnsi="Times New Roman"/>
          <w:sz w:val="18"/>
          <w:szCs w:val="18"/>
          <w:color w:val="auto"/>
        </w:rPr>
        <w:t>-sirolimus, from Abraxis BioScience, LLC, a wholly owned subsidiary of Celgene Corporation, which is a wholly owned subsidiary of Bristol-Myers Squibb Company (“BMS”). Throughout this document we refer to FYARRO (</w:t>
      </w:r>
      <w:r>
        <w:rPr>
          <w:rFonts w:ascii="Times New Roman" w:cs="Times New Roman" w:eastAsia="Times New Roman" w:hAnsi="Times New Roman"/>
          <w:sz w:val="18"/>
          <w:szCs w:val="18"/>
          <w:i w:val="1"/>
          <w:iCs w:val="1"/>
          <w:color w:val="auto"/>
        </w:rPr>
        <w:t>nab</w:t>
      </w:r>
      <w:r>
        <w:rPr>
          <w:rFonts w:ascii="Times New Roman" w:cs="Times New Roman" w:eastAsia="Times New Roman" w:hAnsi="Times New Roman"/>
          <w:sz w:val="18"/>
          <w:szCs w:val="18"/>
          <w:color w:val="auto"/>
        </w:rPr>
        <w:t>-sirolimus, sirolimus protein-bound particles for injectable suspension (albumin-bound)) as FYARRO in the context of commercialization for the treatment of advanced malignant PEComa, investigational use, our clinical trials, regulatory matters such as orphan drug designation and our license agreement with BMS and collaboration agreement with Mirati Therapeutics, Inc. ("Mirati"), all further discussed below and throughout this document.</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22, 2021, the U.S. Food and Drug Administration (the “FDA”) approved FYARRO sirolimus protein-bound particles for injectable suspension (albumin-bound) for the treatment of adult patients with locally advanced unresectable or metastatic malignant PEComa. On February 22, 2022, we launched FYARRO in the United States for treatment of advanced malignant PEComa and recognized net product sales of $24.4 million and $15.2 million for the years ended December 31, 2023 and 2022, respectively.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addition to advanced malignant PEComa, based on exploratory data from the completed Phase 2 registrational study, Advanced Malignant PEComa Trial (“AMPECT”) </w:t>
      </w:r>
      <w:r>
        <w:rPr>
          <w:rFonts w:ascii="Times New Roman" w:cs="Times New Roman" w:eastAsia="Times New Roman" w:hAnsi="Times New Roman"/>
          <w:sz w:val="18"/>
          <w:szCs w:val="18"/>
          <w:color w:val="231F20"/>
        </w:rPr>
        <w:t>and data for</w:t>
      </w:r>
      <w:r>
        <w:rPr>
          <w:rFonts w:ascii="Times New Roman" w:cs="Times New Roman" w:eastAsia="Times New Roman" w:hAnsi="Times New Roman"/>
          <w:sz w:val="18"/>
          <w:szCs w:val="18"/>
          <w:color w:val="auto"/>
        </w:rPr>
        <w:t xml:space="preserve"> FYARRO </w:t>
      </w:r>
      <w:r>
        <w:rPr>
          <w:rFonts w:ascii="Times New Roman" w:cs="Times New Roman" w:eastAsia="Times New Roman" w:hAnsi="Times New Roman"/>
          <w:sz w:val="18"/>
          <w:szCs w:val="18"/>
          <w:color w:val="231F20"/>
        </w:rPr>
        <w:t>in other solid tumors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31F20"/>
        </w:rPr>
        <w:t>TSC1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31F20"/>
        </w:rPr>
        <w:t>TSC2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inactivating alterations</w:t>
      </w:r>
      <w:r>
        <w:rPr>
          <w:rFonts w:ascii="Times New Roman" w:cs="Times New Roman" w:eastAsia="Times New Roman" w:hAnsi="Times New Roman"/>
          <w:sz w:val="18"/>
          <w:szCs w:val="18"/>
          <w:color w:val="auto"/>
        </w:rPr>
        <w:t>, we initiated a registration-directed tumor-agnostic Phase 2 study (“PRECISION1”) of FYARRO in patients with Tuberous Sclerosis Complex 1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and Tuberous Sclerosis Complex 2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alterations. The PRECISION1 trial was opened for enrollment in the United States during the first quarter of 2022, with dosing of our first patient in March 2022. On December 14, 2023, we announced results from an interim analysis on the first third of participants in the PRECISION1 trial (discussed below). As of December 2023, 80 patients were enrolled in the PRECISION1 trial and we expect the trial to be fully enrolled by May 2024 and completed by the end of 2024 with results anticipated in early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objective is to develop and commercialize innovative drugs that address the serious unmet medical needs of cancer patients that are driven by alterations in the mTOR pathway. The principal components of our strategy include:</w:t>
      </w:r>
    </w:p>
    <w:p>
      <w:pPr>
        <w:spacing w:after="0" w:line="50" w:lineRule="exact"/>
        <w:rPr>
          <w:sz w:val="20"/>
          <w:szCs w:val="20"/>
          <w:color w:val="auto"/>
        </w:rPr>
      </w:pPr>
    </w:p>
    <w:p>
      <w:pPr>
        <w:ind w:left="980" w:hanging="486"/>
        <w:spacing w:after="0" w:line="28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the market opportunity for FYARRO by pursuing development of a tumor-agnostic indication in cancer patients with alterations in the TSC1 or TSC2 genes.</w:t>
      </w:r>
    </w:p>
    <w:p>
      <w:pPr>
        <w:spacing w:after="0" w:line="50" w:lineRule="exact"/>
        <w:rPr>
          <w:rFonts w:ascii="Times New Roman" w:cs="Times New Roman" w:eastAsia="Times New Roman" w:hAnsi="Times New Roman"/>
          <w:sz w:val="18"/>
          <w:szCs w:val="18"/>
          <w:color w:val="auto"/>
        </w:rPr>
      </w:pPr>
    </w:p>
    <w:p>
      <w:pPr>
        <w:jc w:val="both"/>
        <w:ind w:left="9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Tuberous Sclerosis Complex acts upstream of mTOR in the pathway to inhibit mTOR activity and negatively regulate cell growth. In cancer, Tuberous Sclerosis Complex genes,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xml:space="preserve"> are tumor suppressors that when activated by gene alterations can contribute to cancer progression. We estimate that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xml:space="preserve"> inactivating alterations occur at a rate of approximately 2% across cancers, or approximately 16,000 new cases each year, with no approved therapies for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xml:space="preserve"> inactivating alterations. Based on exploratory data in patients with </w:t>
      </w:r>
      <w:r>
        <w:rPr>
          <w:rFonts w:ascii="Times New Roman" w:cs="Times New Roman" w:eastAsia="Times New Roman" w:hAnsi="Times New Roman"/>
          <w:sz w:val="18"/>
          <w:szCs w:val="18"/>
          <w:i w:val="1"/>
          <w:iCs w:val="1"/>
          <w:color w:val="auto"/>
        </w:rPr>
        <w:t xml:space="preserve">TSC1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TSC2 </w:t>
      </w:r>
      <w:r>
        <w:rPr>
          <w:rFonts w:ascii="Times New Roman" w:cs="Times New Roman" w:eastAsia="Times New Roman" w:hAnsi="Times New Roman"/>
          <w:sz w:val="18"/>
          <w:szCs w:val="18"/>
          <w:color w:val="auto"/>
        </w:rPr>
        <w:t>alterations from the completed AMPECT, we initiated a registration-directed tumor-agnostic study called PRECISION1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patients with malignant solid tumors driven by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xml:space="preserve"> alterations.</w:t>
      </w:r>
    </w:p>
    <w:p>
      <w:pPr>
        <w:spacing w:after="0" w:line="7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the application of FYARRO as a monotherapy and combination therapy with other agents.</w:t>
      </w:r>
    </w:p>
    <w:p>
      <w:pPr>
        <w:spacing w:after="0" w:line="161"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there is a significant opportunity to utilize FYARRO in other cancers, particularly in combination with other anti-cancer therapies where there is potential additive benefit of mTOR inhibition. These additional indications may be important drivers of commercial value, and we believe that strategic partnerships, particularly in combination therapies, may be an effective means of developing and commercializing these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980"/>
        <w:spacing w:after="0" w:line="246" w:lineRule="auto"/>
        <w:rPr>
          <w:sz w:val="20"/>
          <w:szCs w:val="20"/>
          <w:color w:val="auto"/>
        </w:rPr>
      </w:pPr>
      <w:r>
        <w:rPr>
          <w:rFonts w:ascii="Times New Roman" w:cs="Times New Roman" w:eastAsia="Times New Roman" w:hAnsi="Times New Roman"/>
          <w:sz w:val="18"/>
          <w:szCs w:val="18"/>
          <w:color w:val="auto"/>
        </w:rPr>
        <w:t>opportunities. While we are primarily focused on cancer, the mTOR pathway is also relevant in other indications and we may opportunistically study these indications to broaden the application of FYARRO or satisfy unmet medical needs. We are currently enrolling patients in (i) a Phase 2 open-label, multi-institutional study to evaluate the efficacy and safety of the combination of FYARRO with letrozole for the treatment of advanced or recurrent endometrioid-type endometrial cancer ("EEC") and (ii) a Phase 2 multicenter, open-label, single-arm trial to evaluate adult patients with functional or non-functional, well-differentiated, locally advanced unresectable or metastatic neuroendocrine tumors ("NETs") of the GI tract, lung, or pancreas who have received ≤2 prior lines of therapy excluding somatostatin analogs (SSTa). In addition, in October 2022, we entered into a collaboration and supply agreement with Mirati to evaluate the combination of Mirati’s adagrasib, a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selective inhibitor, and FYARRO in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mutant non-small cell lung cancer ("NSCLC") and other solid tumors.</w:t>
      </w:r>
    </w:p>
    <w:p>
      <w:pPr>
        <w:spacing w:after="0" w:line="80" w:lineRule="exact"/>
        <w:rPr>
          <w:sz w:val="20"/>
          <w:szCs w:val="20"/>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 to commercialize FYARRO in advanced malignant PEComa</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color w:val="auto"/>
        </w:rPr>
      </w:pPr>
    </w:p>
    <w:p>
      <w:pPr>
        <w:jc w:val="both"/>
        <w:ind w:left="9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FYARRO, we initially targeted advanced malignant PEComa, an ultra-rare sarcoma with no approved therapies other than FYARRO. In May 2021, we completed the filing of a rolling new drug application ("NDA") submission with the FDA for FYARRO for the treatment of advanced malignant PEComa based on the positive results from AMPECT, our pivotal Phase 2 study in this patient population, which met its primary endpoint. The FDA accepted the NDA in July 2021 and we were granted approval for commercial sale of FYARRO on November 22, 2021. We built a cross functional commercial team and infrastructure and launched FYARRO for advanced malignant PEComa in the United States in the first quarter of 2022.</w:t>
      </w:r>
    </w:p>
    <w:p>
      <w:pPr>
        <w:spacing w:after="0" w:line="7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Establish capabilities and/or partnerships outside the United States to effectively commercialize and maximize the value of FYARRO.</w:t>
      </w:r>
    </w:p>
    <w:p>
      <w:pPr>
        <w:spacing w:after="0" w:line="121"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We have built capabilities in the United States to commercialize FYARRO. Outside the United States, we intend to selectively evaluate strategic partnerships with partners whose development and commercial capabilities complement our own.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team has extensive experience in the discovery, development, and commercialization of cancer therapeutics, including in senior roles at leading oncology companies. We are supported by our board of directors and specialized scientific advisors, who contribute their deep understanding of drug discovery and development, as well as expertise in building public companies and business development. We believe that our team is well positioned to execute on our strategy to develop and commercialize FYARRO and future pipeline assets to ultimately bring significant benefit to cancer patients worldwide.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Science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Importance of the mTOR Pathway in Cancer</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mTOR is a serine–threonine kinase that is the key component of two multi-subunit complexes with non-overlapping downstream targets: mTOR Complex 1 (“mTORC1”) and mTOR Complex 2 (“mTORC2”). mTORC1 plays a vital role in the regulation of cell growth and division by controlling the balance between anabolic and catabolic cellular processes and facilitates the progression of cell-cycle from G1 to S phase. Due to its key role in anabolic processes needed for cell division, the majority of cancer cells have activation of mTORC1 through one mechanism or another. Thus, the effective inhibition of mTORC1 in cancer cells may inhibit their proliferation. Activation of mTORC1 may occur downstream of the PI3K/AKT or Ras/MEK/ERK pathways, or through inactivating alterations in negative regulators of the mTORC1 pathway, including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Downstream signaling nodes of mTORC1, specifically S6K and 4EBP1, are key drivers of mTORC1 activity. Decreased phosphorylation of S6K leads to decreased activity, while decreased phosphorylation of 4EBP1 leads to increased activity. Sirolimus (also known as rapamycin) is an allosteric inhibitor of mTOR, which binds to the 12-kDa FK506-binding protein 12 ("FKBP12"), and the complex directly and strongly inhibits mTORC1.</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Figure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mTOR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88265</wp:posOffset>
            </wp:positionV>
            <wp:extent cx="2863215" cy="3429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6321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Currently approved mTOR inhibitors are limited in their applicability due to poor and variable absorption of the oral drugs (sirolimus and everolimus) or variable conversion from prodrug to active drug (temsirolimus) and premedication requirements (temsirolimus). These drugs have a narrow therapeutic index and a reduction from the labelled dose can result in decreased efficacy. Preclinical study comparisons with FYARRO showed significantly higher tumor uptake, greater downstream mTOR target suppression and increased suppression of tumor growth for FYARRO compared to the oral mTOR inhibitors. A literature comparison of the clinical pharmacokinetic profiles of the drugs shows that FYARRO has a longer half-life, higher peak blood concentration and greater total exposure than the other approved mTOR inhibitors. FYARRO is administered in cycles that are given weekly for two weeks followed by a week off and does not require therapeutic monitoring to ensure adequate blood levels.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Nanoparticle Albumin-Bound (nab) Technology</w:t>
      </w:r>
    </w:p>
    <w:p>
      <w:pPr>
        <w:spacing w:after="0" w:line="1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The nanoparticle albumin-bound, or </w:t>
      </w:r>
      <w:r>
        <w:rPr>
          <w:rFonts w:ascii="Times New Roman" w:cs="Times New Roman" w:eastAsia="Times New Roman" w:hAnsi="Times New Roman"/>
          <w:sz w:val="18"/>
          <w:szCs w:val="18"/>
          <w:i w:val="1"/>
          <w:iCs w:val="1"/>
          <w:color w:val="auto"/>
        </w:rPr>
        <w:t>nab</w:t>
      </w:r>
      <w:r>
        <w:rPr>
          <w:rFonts w:ascii="Times New Roman" w:cs="Times New Roman" w:eastAsia="Times New Roman" w:hAnsi="Times New Roman"/>
          <w:sz w:val="18"/>
          <w:szCs w:val="18"/>
          <w:color w:val="auto"/>
        </w:rPr>
        <w:t xml:space="preserve">, technology was created and developed by Neil Desai, our founder and Executive Chairman, and former colleagues while at Abraxis Bioscience, LLC. This technology takes advantage of the protein albumin, a natural carrier of water insoluble molecules (e.g., various nutrients, vitamins and hormones) found in humans. Due to various active and passive transport processes in the body, albumin can accumulate preferentially in different tissues including tumors, areas of inflammation, or areas of tissue remodeling, i.e., at sites of disease. The </w:t>
      </w:r>
      <w:r>
        <w:rPr>
          <w:rFonts w:ascii="Times New Roman" w:cs="Times New Roman" w:eastAsia="Times New Roman" w:hAnsi="Times New Roman"/>
          <w:sz w:val="18"/>
          <w:szCs w:val="18"/>
          <w:i w:val="1"/>
          <w:iCs w:val="1"/>
          <w:color w:val="auto"/>
        </w:rPr>
        <w:t>nab</w:t>
      </w:r>
      <w:r>
        <w:rPr>
          <w:rFonts w:ascii="Times New Roman" w:cs="Times New Roman" w:eastAsia="Times New Roman" w:hAnsi="Times New Roman"/>
          <w:sz w:val="18"/>
          <w:szCs w:val="18"/>
          <w:color w:val="auto"/>
        </w:rPr>
        <w:t xml:space="preserve"> technology takes advantage of these transport properties of albumin and its affinity of binding to certain drug molecules to increase the efficiency with which these molecules may be brought to these sites of disease. The first clinical and commercial validation of this technology is BMS's Abraxane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is approved in the United States and worldwide for the treatment of breast cancer, non-small cell lung cancer and pancreatic cancer. Abraxane has generated greater than $1.0 billion of sales in the United States every year since 2018 until its loss of market exclusivity in 2022.</w:t>
      </w:r>
    </w:p>
    <w:p>
      <w:pPr>
        <w:spacing w:after="0" w:line="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are applying the </w:t>
      </w:r>
      <w:r>
        <w:rPr>
          <w:rFonts w:ascii="Times New Roman" w:cs="Times New Roman" w:eastAsia="Times New Roman" w:hAnsi="Times New Roman"/>
          <w:sz w:val="18"/>
          <w:szCs w:val="18"/>
          <w:i w:val="1"/>
          <w:iCs w:val="1"/>
          <w:color w:val="auto"/>
        </w:rPr>
        <w:t>nab</w:t>
      </w:r>
      <w:r>
        <w:rPr>
          <w:rFonts w:ascii="Times New Roman" w:cs="Times New Roman" w:eastAsia="Times New Roman" w:hAnsi="Times New Roman"/>
          <w:sz w:val="18"/>
          <w:szCs w:val="18"/>
          <w:color w:val="auto"/>
        </w:rPr>
        <w:t xml:space="preserve"> technology to the molecule sirolimus, a potent inhibitor of the mTOR pathway that is hindered in large part by a poor pharmacologic profile (e.g., poor and variable absorption with incomplete target suppression). The relevance of albumin transport in cancer has been extensively studied and albumin is known to accumulate in tumor tissues due to the leaky capillary system within the tumor, defective lymphatic drainage of tumors, and active caveolae-mediated transport across tumor blood vessel endothelium. In addition, albumin can be taken up by proliferating tumor cells via endocytosis and macropinocytosis, then catabolized by lysosomal degradation to support de novo protein synthesis, energy, and tumor growth. Ultimately, </w:t>
      </w:r>
      <w:r>
        <w:rPr>
          <w:rFonts w:ascii="Times New Roman" w:cs="Times New Roman" w:eastAsia="Times New Roman" w:hAnsi="Times New Roman"/>
          <w:sz w:val="18"/>
          <w:szCs w:val="18"/>
          <w:i w:val="1"/>
          <w:iCs w:val="1"/>
          <w:color w:val="auto"/>
        </w:rPr>
        <w:t>nab</w:t>
      </w:r>
      <w:r>
        <w:rPr>
          <w:rFonts w:ascii="Times New Roman" w:cs="Times New Roman" w:eastAsia="Times New Roman" w:hAnsi="Times New Roman"/>
          <w:sz w:val="18"/>
          <w:szCs w:val="18"/>
          <w:color w:val="auto"/>
        </w:rPr>
        <w:t xml:space="preserve"> technology allows FYARRO to take advantage of albumin transport pathways to accumulate at high levels in tumors and deliver sirolimus directly to cancer cells where it can effectively inhibit mTOR. The accumulation of albumin in tumors can be easily visualized by using evans blue dye which has a high affinity for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albumin. Intravenous injection of albumin-evans blue complex in animals bearing tumors resulted in rapid accumulation of the complex within the tumors which could be easily visualized a few hours after injection. Similarly, a fluorescent labelled albumin when injected into human glioblastoma patients 24-48 hours before surgery resulted in excellent visualization of the tumors during surgery under fluorescent light and allowed the complete resection of the tumor margins in the majority of the patients treated.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Figure 2 </w:t>
      </w:r>
      <w:r>
        <w:rPr>
          <w:rFonts w:ascii="Times New Roman" w:cs="Times New Roman" w:eastAsia="Times New Roman" w:hAnsi="Times New Roman"/>
          <w:sz w:val="18"/>
          <w:szCs w:val="18"/>
          <w:color w:val="auto"/>
        </w:rPr>
        <w:t>– Albumin Accumulation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88265</wp:posOffset>
            </wp:positionV>
            <wp:extent cx="5657850" cy="2451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FYARRO</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sirolimus protein-bound particles for injectable suspension (albumin-bound))</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FYARRO is a form of sirolimus bound to albumin. Sirolimus is a potent inhibitor of the mTOR biological pathway and inhibits downstream signaling from mTOR, the activation of which can promote tumor growth. FYARRO is composed of nanoparticles of sirolimus bound to human albumin with an average size less than 100 nanometers. An artist’s impression of these nanoparticles is shown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Figure 3 – </w:t>
      </w:r>
      <w:r>
        <w:rPr>
          <w:rFonts w:ascii="Times New Roman" w:cs="Times New Roman" w:eastAsia="Times New Roman" w:hAnsi="Times New Roman"/>
          <w:sz w:val="18"/>
          <w:szCs w:val="18"/>
          <w:color w:val="auto"/>
        </w:rPr>
        <w:t>Nanoparticle artist impression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88265</wp:posOffset>
            </wp:positionV>
            <wp:extent cx="4114800" cy="213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1480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orally available mTOR inhibitors have poor and variable absorption, often require therapeutic drug monitoring, and have incomplete target suppression. The combination of sirolimus with human albumin in FYARRO achieves higher area under the curve (AUC), Cmax and longer half-life in humans at its clinical dose when compared with published clinical data for other mTOR inhibitors, demonstrating FYARRO’s differentiated clinical pharmacologic and pharmacokinetic profile.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Figure 4 </w:t>
      </w:r>
      <w:r>
        <w:rPr>
          <w:rFonts w:ascii="Times New Roman" w:cs="Times New Roman" w:eastAsia="Times New Roman" w:hAnsi="Times New Roman"/>
          <w:sz w:val="18"/>
          <w:szCs w:val="18"/>
          <w:color w:val="auto"/>
        </w:rPr>
        <w:t>– FYARRO PK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88265</wp:posOffset>
            </wp:positionV>
            <wp:extent cx="5657850" cy="1568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differences in pharmacology can result in advantageous differences in the clinical behavior of FYARRO when compared to the other mTOR inhibitors. This is effectively illustrated in comparative experiments in animals bearing bladder cancer tumors or liver cancer tumors. Data from these tumor-bearing animal models showed many-fold higher tumor drug levels for FYARRO at equal dose to the other mTOR inhibitors which was correlated with a greater degree of mTOR target suppression as indicated by inhibition of phosphorylation of S6 and 4EBP1 (downstream signaling nodes of mTORC1 that are known to play a role in downstream activity of mTOR as well as resistance to mTOR suppression), and a correspondingly higher suppression of tumor growth.</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other mTOR inhibitors on the market or active in clinical development do not have the required favorable pharmacological profile to fully exploit the benefits of mTOR inhibition. We believe that FYARRO’s differentiated pharmacologic profile, high tumor accumulation, and ability to effectively inhibit important targets in the mTOR pathway make it a well-positioned drug to address resistance and suboptimal efficacy of existing mTOR inhibitors.</w:t>
      </w:r>
    </w:p>
    <w:p>
      <w:pPr>
        <w:spacing w:after="0" w:line="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are studying FYARRO in cancers with known mTOR pathway activation, including indications targeting specific genomic alterations that activate the mTOR pathway, such as our trial to evaluate adult patients with functional or non-functional, well-differentiated, locally advanced unresectable or metastatic NETs of the GI tract, lung, or pancreas who have received ≤2 prior lines of therapy excluding somatostatin (SSTa). We have additional ongoing studies evaluating FYARRO in combination with other targeted agents, such as our study to evaluate the efficacy and safety of the combination of FYARRO with letrozole for the treatment of advanced or recurrent EEC and our current collaboration with Mirati to evaluate the combination of Mirati’s adagrasib, a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selective inhibitor, and FYARRO in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mutant non-small cell lung cancer (NSCLC) and other solid tumors. Our ongoing studies are summarized in the figure below.</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Figure 5 </w:t>
      </w:r>
      <w:r>
        <w:rPr>
          <w:rFonts w:ascii="Times New Roman" w:cs="Times New Roman" w:eastAsia="Times New Roman" w:hAnsi="Times New Roman"/>
          <w:sz w:val="18"/>
          <w:szCs w:val="18"/>
          <w:color w:val="auto"/>
        </w:rPr>
        <w:t>–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FYARRO - Commercial</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Advanced Malignant PEComa. </w:t>
      </w:r>
      <w:r>
        <w:rPr>
          <w:rFonts w:ascii="Times New Roman" w:cs="Times New Roman" w:eastAsia="Times New Roman" w:hAnsi="Times New Roman"/>
          <w:sz w:val="18"/>
          <w:szCs w:val="18"/>
          <w:color w:val="auto"/>
        </w:rPr>
        <w:t>PEComas are mesenchymal neoplasms, composed of histologically and immunohistochemically distinctive cells,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perivascular epithelioid cells (“PEC”s). Most PEComas are clinically benign and do not metastasize, but malignant PEComas can demonstrate local invasion and aggressive metastatic spread. PEComas show a wide anatomical distribution, but most often arise in the retroperitoneum, abdominopelvic region, uterus and gastrointestinal tract, and have a 4:1 female predominance. Malignant PEComas are classified as one of the ultra-rare soft-tissue sarcomas with an estimated annual incidence of roughly 100-300 patients per year in the United States, although formal epidemiology studies have yet to be conducted.</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FYARRO is the first FDA approved treatment specifically for malignant PEComa. The disease is often treated with the cytotoxic chemotherapy regimens used in soft tissue sarcomas, which have shown only modest benefit for malignant PEComa. PEComas commonly show evidence of mTORC1 activation due at least in part to loss-of-function mutations in or deletions of the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xml:space="preserve"> genes. In a retrospective analysis, patients with malignant PEComa treated with available mTOR inhibitors (mTORi, sirolimus, everolimus, and temsirolimus) benefited from treatment suggesting that mTORC1 inhibition may be a promising therapeutic approach for malignant PEComa. As a result, available mTOR inhibitors may also be used to treat malignant PEComa.</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2021, we completed the filing of a rolling NDA for FYARRO to the FDA for approval to treat patients with advanced malignant PEComa. The NDA was based on results from AMPECT, our Phase 2 registration-directed study in advanced malignant PEComa, which met its primary endpoint. In advanced malignant PEComa, other than FYARRO, there are no existing FDA approved therapies or drugs that have been studied in prospective clinical trials. Following FDA approval, the National Comprehensive Cancer Network (“NCCN”) Sarcoma panel included FYARRO as the only preferred regimen for treatment of malignant PEComa.</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22, 2022, we launched FYARRO in the United States for treatment of advanced malignant PEComa and recognized net product sales of $24.4 million and $15.2 million for the years ended December 31, 2023 and 2022,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FYARRO - Ongoing Clinical Development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FYARRO in TSC1 and TSC2 inactivating alterations (PRECISION1 Clinical Trial)</w:t>
      </w:r>
    </w:p>
    <w:p>
      <w:pPr>
        <w:spacing w:after="0" w:line="11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PRECISION1 is a registration-directed tumor-agnostic Phase 2 study of FYARRO in patients with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xml:space="preserve"> inactivating alterations that is based on evidence of activity seen in patients with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xml:space="preserve"> inactivating alterations from the completed AMPECT trial (presented at the Connective Tissue Oncology Society (CTOS) Annual Meeting in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2020) and our expanded access program (presented at the ASCO Annual Meeting in 2021). We have completed a Type B meeting with the FDA in which we discussed the trial design with the FDA. The PRECISION1 trial opened for enrollment in the United States during the first quarter of 2022 and the first patient was dosed in March 2022.</w:t>
      </w:r>
    </w:p>
    <w:p>
      <w:pPr>
        <w:spacing w:after="0" w:line="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xml:space="preserve"> genes encode for proteins that form a tumor suppressor complex that down regulates mTORC1 activity. Inactivating alterations in the </w:t>
      </w:r>
      <w:r>
        <w:rPr>
          <w:rFonts w:ascii="Times New Roman" w:cs="Times New Roman" w:eastAsia="Times New Roman" w:hAnsi="Times New Roman"/>
          <w:sz w:val="18"/>
          <w:szCs w:val="18"/>
          <w:i w:val="1"/>
          <w:iCs w:val="1"/>
          <w:color w:val="auto"/>
        </w:rPr>
        <w:t xml:space="preserve">TSC1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TSC2 </w:t>
      </w:r>
      <w:r>
        <w:rPr>
          <w:rFonts w:ascii="Times New Roman" w:cs="Times New Roman" w:eastAsia="Times New Roman" w:hAnsi="Times New Roman"/>
          <w:sz w:val="18"/>
          <w:szCs w:val="18"/>
          <w:color w:val="auto"/>
        </w:rPr>
        <w:t>genes can result in activation of mTORC1.</w:t>
      </w:r>
      <w:r>
        <w:rPr>
          <w:rFonts w:ascii="Times New Roman" w:cs="Times New Roman" w:eastAsia="Times New Roman" w:hAnsi="Times New Roman"/>
          <w:sz w:val="18"/>
          <w:szCs w:val="18"/>
          <w:i w:val="1"/>
          <w:iCs w:val="1"/>
          <w:color w:val="auto"/>
        </w:rPr>
        <w:t xml:space="preserve"> TSC1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TSC2 </w:t>
      </w:r>
      <w:r>
        <w:rPr>
          <w:rFonts w:ascii="Times New Roman" w:cs="Times New Roman" w:eastAsia="Times New Roman" w:hAnsi="Times New Roman"/>
          <w:sz w:val="18"/>
          <w:szCs w:val="18"/>
          <w:color w:val="auto"/>
        </w:rPr>
        <w:t>alterations have been reported across a broad range of cancer types. Real-world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next-generation sequencing analysis of nearly 440,000 patients with advanced cancer showed that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xml:space="preserve"> known or likely pathogenic alterations occurred in approximately 2% of all solid tumors (see chart titled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xml:space="preserve"> Inactivating Alterations Represent Significant Opportunity Across Common Cancer Types” below). While there are no therapies approved specifically for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xml:space="preserve"> alterations, numerous case reports show durable responses to mTOR inhibition in patients with these alterations.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Figure 6 - </w:t>
      </w:r>
      <w:r>
        <w:rPr>
          <w:rFonts w:ascii="Times New Roman" w:cs="Times New Roman" w:eastAsia="Times New Roman" w:hAnsi="Times New Roman"/>
          <w:sz w:val="18"/>
          <w:szCs w:val="18"/>
          <w:color w:val="auto"/>
        </w:rPr>
        <w:t>TSC1 and TSC2 Prevalence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5674995" cy="3188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7499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14, 2023, we reported results from a planned interim analysis on the first third of participants in the PRECISION1 trial. The interim analysis included data from the first third of trial participants (n=40) with a minimum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4.5 months of follow-up, including investigator-assessed response and safety analyzed separately in each of the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xml:space="preserve"> arms. Nine different tumor types were enrolled in the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xml:space="preserve"> arm and 13 tumor types were enrolled in the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xml:space="preserve"> arm.</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Table 1 - </w:t>
      </w:r>
      <w:r>
        <w:rPr>
          <w:rFonts w:ascii="Times New Roman" w:cs="Times New Roman" w:eastAsia="Times New Roman" w:hAnsi="Times New Roman"/>
          <w:sz w:val="18"/>
          <w:szCs w:val="18"/>
          <w:color w:val="auto"/>
        </w:rPr>
        <w:t>PRECISION1 Interim Analysis Tumor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5589270" cy="31457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8927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With respect to the efficacy of </w:t>
      </w:r>
      <w:r>
        <w:rPr>
          <w:rFonts w:ascii="Times New Roman" w:cs="Times New Roman" w:eastAsia="Times New Roman" w:hAnsi="Times New Roman"/>
          <w:sz w:val="18"/>
          <w:szCs w:val="18"/>
          <w:i w:val="1"/>
          <w:iCs w:val="1"/>
          <w:color w:val="auto"/>
        </w:rPr>
        <w:t>nab</w:t>
      </w:r>
      <w:r>
        <w:rPr>
          <w:rFonts w:ascii="Times New Roman" w:cs="Times New Roman" w:eastAsia="Times New Roman" w:hAnsi="Times New Roman"/>
          <w:sz w:val="18"/>
          <w:szCs w:val="18"/>
          <w:color w:val="auto"/>
        </w:rPr>
        <w:t xml:space="preserve">-sirolimus in patients with tumors harboring pathogenic inactivating alteration in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of the 22 patients enrolled, 19 patients received ≥ 1 post baseline scan and were evaluable for efficacy. Observations included:</w:t>
      </w:r>
    </w:p>
    <w:p>
      <w:pPr>
        <w:spacing w:after="0" w:line="52"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26% Overall Response Rate (ORR) including 5 partial responses (PR) with 4 confirmed responses and 1 unconfirmed response (uPR). The patient with uPR remains on treatment and is awaiting a confirmatory scan;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patients had stable disease (SD), 3 of which were greater than or equal to six months in duration, resulting in a clinical benefit rate of 42% (5 PR + 3 SD ≥ 6 months);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were heavily pre-treated with median of 3 prior lines of therapy;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median time to response was 1.4 months and all responses were ongoing at time of data cutoff;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responses were seen across four different epithelial carcinomas;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of responders experienced &gt; 50% tumor reduction.</w:t>
      </w:r>
    </w:p>
    <w:p>
      <w:pPr>
        <w:spacing w:after="0" w:line="11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With respect to the efficacy of </w:t>
      </w:r>
      <w:r>
        <w:rPr>
          <w:rFonts w:ascii="Times New Roman" w:cs="Times New Roman" w:eastAsia="Times New Roman" w:hAnsi="Times New Roman"/>
          <w:sz w:val="18"/>
          <w:szCs w:val="18"/>
          <w:i w:val="1"/>
          <w:iCs w:val="1"/>
          <w:color w:val="auto"/>
        </w:rPr>
        <w:t>nab</w:t>
      </w:r>
      <w:r>
        <w:rPr>
          <w:rFonts w:ascii="Times New Roman" w:cs="Times New Roman" w:eastAsia="Times New Roman" w:hAnsi="Times New Roman"/>
          <w:sz w:val="18"/>
          <w:szCs w:val="18"/>
          <w:color w:val="auto"/>
        </w:rPr>
        <w:t xml:space="preserve">-sirolimus in patients with tumors harboring pathogenic inactivating alteration in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of the 18 patients enrolled, all 18 patients received ≥ 1 post baseline scan and were evaluable for efficacy. Observations included:</w:t>
      </w:r>
    </w:p>
    <w:p>
      <w:pPr>
        <w:spacing w:after="0" w:line="5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11% ORR including 2 PRs with 1 confirmed and 1 uPR;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patients had SD, 3 of which were greater than or equal to six months resulting in a clinical benefit rate of 28% (2 PR + 3 SD ≥ 6 mos);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were heavily pre-treated with median of 3.5 prior lines of therapy; 50% had ≥ 5 prior lines of therapy;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Responses were seen in one epithelial carcinoma and one sarcoma.</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No new safety signals were observed, and no grade four treatment-related events or deaths occurred. One patient discontinued the study due to grade two pneumonitis that completely resolved after discontinuation of therapy. Across both arms, the safety profile was consistent with the </w:t>
      </w:r>
      <w:r>
        <w:rPr>
          <w:rFonts w:ascii="Times New Roman" w:cs="Times New Roman" w:eastAsia="Times New Roman" w:hAnsi="Times New Roman"/>
          <w:sz w:val="18"/>
          <w:szCs w:val="18"/>
          <w:i w:val="1"/>
          <w:iCs w:val="1"/>
          <w:color w:val="auto"/>
        </w:rPr>
        <w:t>nab</w:t>
      </w:r>
      <w:r>
        <w:rPr>
          <w:rFonts w:ascii="Times New Roman" w:cs="Times New Roman" w:eastAsia="Times New Roman" w:hAnsi="Times New Roman"/>
          <w:sz w:val="18"/>
          <w:szCs w:val="18"/>
          <w:color w:val="auto"/>
        </w:rPr>
        <w:t>-sirolimus label and the mTOR inhibitor drug class.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2023, 80 patients were enrolled in the PRECISION1 trial, supporting the two-thirds interim analysis that we expect in the third quarter of 2024. The ORR analysis in two-thirds interim analysis cohort will be based 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independent radiological review with a minimum of six months of follow-up for all patients. We expect the trial to be fully enrolled by May 2024 and completed by the end of 2024, with results anticipated in early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FYARRO in endometrial cancer</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2023, we announced the expansion of our FYARRO clinical pipeline through the further investigation of mTOR pathway inhibition by studying FYARRO in endometrioid endometrial cancer (EEC). We are currently enrolling patients in a Phase 2 open-label, multi-institutional study to evaluate the efficacy and safety of the combination of FYARRO with letrozole for the treatment of advanced or recurrent EEC.</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Endometrial cancer is the most common cancer of the female reproductive organs, with an estimated 10,000 cases of EEC diagnosed annually in the United States. The mTOR pathway is known to be activated in many cases of endometrial cancer; approximately 93% of EEC patients have mutations in the PI3k/AKT/mTOR pathway. In previous clinical trials, mTOR inhibitor everolimus in combination with letrozole (an anti-estrogen agent) has demonstrated efficacy in the EEC population.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FYARRO in neuroendocrine tumors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2023, we also announced the study of FYARRO in neuroendocrine tumors (NETs). We are currently enrolling a Phase 2 multicenter, open-label, single-arm trial to evaluate FYARRO in adult patients with functional or non-functional, well-differentiated, locally advanced unresectable or metastatic NETs of the GI tract, lung, or pancreas who have received ≤2 prior lines of therapy, excluding somatostatin analogs (SSTa).</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NETs develop from neuroendocrine cells found in various organs throughout the body, including the pancreas, gastrointestinal tract, and lung, with approximately 3,500 cases diagnosed annually in the United States. While NETs are slow growing, they may result in a variety of severe symptoms, including pain, organ dysfunction, and in the case of functional (hormone secreting) NETs, intractable diarrhea, refractory gastric ulcers, or uncontrolled glucose levels that may respond poorly to treatment. While everolimus is approved for NETs based on a progression free survival benefit over placebo, we believe, based in part on everolimus's preclinical studies results, that there is an opportunity for </w:t>
      </w:r>
      <w:r>
        <w:rPr>
          <w:rFonts w:ascii="Times New Roman" w:cs="Times New Roman" w:eastAsia="Times New Roman" w:hAnsi="Times New Roman"/>
          <w:sz w:val="18"/>
          <w:szCs w:val="18"/>
          <w:i w:val="1"/>
          <w:iCs w:val="1"/>
          <w:color w:val="auto"/>
        </w:rPr>
        <w:t>nab</w:t>
      </w:r>
      <w:r>
        <w:rPr>
          <w:rFonts w:ascii="Times New Roman" w:cs="Times New Roman" w:eastAsia="Times New Roman" w:hAnsi="Times New Roman"/>
          <w:sz w:val="18"/>
          <w:szCs w:val="18"/>
          <w:color w:val="auto"/>
        </w:rPr>
        <w:t>-sirolimus to provide enhanced therapeutic benefit.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FYARRO in combination with KRAS</w:t>
      </w:r>
      <w:r>
        <w:rPr>
          <w:rFonts w:ascii="Times New Roman" w:cs="Times New Roman" w:eastAsia="Times New Roman" w:hAnsi="Times New Roman"/>
          <w:sz w:val="23"/>
          <w:szCs w:val="23"/>
          <w:i w:val="1"/>
          <w:iCs w:val="1"/>
          <w:color w:val="auto"/>
          <w:vertAlign w:val="superscript"/>
        </w:rPr>
        <w:t>G12C</w:t>
      </w:r>
      <w:r>
        <w:rPr>
          <w:rFonts w:ascii="Times New Roman" w:cs="Times New Roman" w:eastAsia="Times New Roman" w:hAnsi="Times New Roman"/>
          <w:sz w:val="18"/>
          <w:szCs w:val="18"/>
          <w:i w:val="1"/>
          <w:iCs w:val="1"/>
          <w:color w:val="auto"/>
        </w:rPr>
        <w:t xml:space="preserve"> inhibitors for KRAS</w:t>
      </w:r>
      <w:r>
        <w:rPr>
          <w:rFonts w:ascii="Times New Roman" w:cs="Times New Roman" w:eastAsia="Times New Roman" w:hAnsi="Times New Roman"/>
          <w:sz w:val="23"/>
          <w:szCs w:val="23"/>
          <w:i w:val="1"/>
          <w:iCs w:val="1"/>
          <w:color w:val="auto"/>
          <w:vertAlign w:val="superscript"/>
        </w:rPr>
        <w:t>G12C</w:t>
      </w:r>
      <w:r>
        <w:rPr>
          <w:rFonts w:ascii="Times New Roman" w:cs="Times New Roman" w:eastAsia="Times New Roman" w:hAnsi="Times New Roman"/>
          <w:sz w:val="18"/>
          <w:szCs w:val="18"/>
          <w:i w:val="1"/>
          <w:iCs w:val="1"/>
          <w:color w:val="auto"/>
        </w:rPr>
        <w:t>-mutated cancer xenografts</w:t>
      </w:r>
    </w:p>
    <w:p>
      <w:pPr>
        <w:spacing w:after="0" w:line="6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2022, we conducted preclinical studies to investigate the antitumor activity of mTOR inhibitors, FYARRO or everolimus, in combination with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inhibitors, sotorasib or adagrasib, in KRAS G12C-mutated cancer xenografts. KRAS is frequently mutated in non-small cell lung cancer (NSCLC) and other tumor types, with the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present in approximately 9% of NSCLC patients. The mTOR pathway is often activated in patients with the KRAS mutation and contributes to adaptive resistance to KRAS inhibitors. We conducted these studies to determine the utility of a combination of the mTOR inhibitor </w:t>
      </w:r>
      <w:r>
        <w:rPr>
          <w:rFonts w:ascii="Times New Roman" w:cs="Times New Roman" w:eastAsia="Times New Roman" w:hAnsi="Times New Roman"/>
          <w:sz w:val="18"/>
          <w:szCs w:val="18"/>
          <w:i w:val="1"/>
          <w:iCs w:val="1"/>
          <w:color w:val="auto"/>
        </w:rPr>
        <w:t>nab-</w:t>
      </w:r>
      <w:r>
        <w:rPr>
          <w:rFonts w:ascii="Times New Roman" w:cs="Times New Roman" w:eastAsia="Times New Roman" w:hAnsi="Times New Roman"/>
          <w:sz w:val="18"/>
          <w:szCs w:val="18"/>
          <w:color w:val="auto"/>
        </w:rPr>
        <w:t>sirolimus and KRAS inhibitors, which could have synergistic potential in the treatment of KRAS mutated cancers. Results of these studies showed that combining FYARRO with either of the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inhibitors significantly improved response against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mutant lung cancer and bladder cancer tumors in vivo and FYARRO also showed significantly greater potency in the combination compared to everolimus.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FYARRO - Historical Clinical Development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Advanced Malignant PEComa Trial (AMPECT)</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PEComa. </w:t>
      </w:r>
      <w:r>
        <w:rPr>
          <w:rFonts w:ascii="Times New Roman" w:cs="Times New Roman" w:eastAsia="Times New Roman" w:hAnsi="Times New Roman"/>
          <w:sz w:val="18"/>
          <w:szCs w:val="18"/>
          <w:color w:val="auto"/>
        </w:rPr>
        <w:t>AMPECT was the first prospective clinical trial in advanced malignant PEComa. Patients with metastatic or inoperable locally advanced disease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treated with FYARRO at 100 mg/m2 administered as an IV infusion over 30 minutes on Days 1 and 8 of a 21-day cycle. The primary endpoint for the study was ORR evaluated by independent radiology review. Secondary efficacy endpoints included duration of response (“DOR”), progression free survival (“PFS”) and overall survival (“OS”). The sample size estimation assumed an observed ORR of 30% for a sample size of 30 patients, which would exclude values less than 14.7% for the lower bound of the 95% confidence interval.</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This registrational trial met its primary endpoint demonstrating the efficacy of </w:t>
      </w:r>
      <w:r>
        <w:rPr>
          <w:rFonts w:ascii="Times New Roman" w:cs="Times New Roman" w:eastAsia="Times New Roman" w:hAnsi="Times New Roman"/>
          <w:sz w:val="18"/>
          <w:szCs w:val="18"/>
          <w:i w:val="1"/>
          <w:iCs w:val="1"/>
          <w:color w:val="auto"/>
        </w:rPr>
        <w:t>nab-</w:t>
      </w:r>
      <w:r>
        <w:rPr>
          <w:rFonts w:ascii="Times New Roman" w:cs="Times New Roman" w:eastAsia="Times New Roman" w:hAnsi="Times New Roman"/>
          <w:sz w:val="18"/>
          <w:szCs w:val="18"/>
          <w:color w:val="auto"/>
        </w:rPr>
        <w:t>sirolimus in this rare disease for which there was no FDA approved treatment, with an independently assessed ORR of 39% (95% CI: 22%, 58%). Disease control (defined as complete or partial response (“CR” or “PR”) + stable disease ≥12 weeks) was achieved in 71% of patients. FYARRO (</w:t>
      </w:r>
      <w:r>
        <w:rPr>
          <w:rFonts w:ascii="Times New Roman" w:cs="Times New Roman" w:eastAsia="Times New Roman" w:hAnsi="Times New Roman"/>
          <w:sz w:val="18"/>
          <w:szCs w:val="18"/>
          <w:i w:val="1"/>
          <w:iCs w:val="1"/>
          <w:color w:val="auto"/>
        </w:rPr>
        <w:t>nab-</w:t>
      </w:r>
      <w:r>
        <w:rPr>
          <w:rFonts w:ascii="Times New Roman" w:cs="Times New Roman" w:eastAsia="Times New Roman" w:hAnsi="Times New Roman"/>
          <w:sz w:val="18"/>
          <w:szCs w:val="18"/>
          <w:color w:val="auto"/>
        </w:rPr>
        <w:t>sirolimus) was subsequently approved by the FDA for the treatment of advanced malignant PEComa on November 22, 2021.</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Sixty-seven percent (8 of 12) of responses were seen at the first scan after baseline at week six (median time to response 1.4 months, 95% CI: 1.3 to 2.8 months). At the time of the primary analysis (predefined as when all patients had an opportunity to be treated for 6 months), the median for the key secondary endpoint of DOR was not yet reached, with 9 of 12 responders still on treatment (DOR range 4.2+, 27.7+ months). At 1.5-years of follow-up after the primary analysis date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(i.e., 2-years after the last patient-initiated treatment), 7 of 12 responders were still receiving treatment and the median DOR was still not reached, with 50% of patients exceeding 2.5 years (DOR range 5.6, 47.2+ months).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Figure 9 shows the target tumor responses (waterfall plot). One patient with a primary renal PEComa metastatic to the lungs and lymph nodes had a PR for 10 months that converted to a CR. Responses were independent of the primary site and were observed in tumors originating in the uterus (3), kidney (3), retroperitoneum (2), pelvis (2), liver (1), and small bowel (1). Notably, 43% (3/7) of patients with uterine PEComa had a partial response. Responses were also observed in 3/4 patients who had previously received chemotherapy.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Figure 7 </w:t>
      </w:r>
      <w:r>
        <w:rPr>
          <w:rFonts w:ascii="Times New Roman" w:cs="Times New Roman" w:eastAsia="Times New Roman" w:hAnsi="Times New Roman"/>
          <w:sz w:val="18"/>
          <w:szCs w:val="18"/>
          <w:color w:val="auto"/>
        </w:rPr>
        <w:t>– Waterfall plot of Maximum Reduction in Target Lesions, Two-year Follow-up (Wagner et al., JCO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88265</wp:posOffset>
            </wp:positionV>
            <wp:extent cx="4629150" cy="3077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2915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 patient with unconfirmed PR is considered having SD as best response (trial required confirmation of responses per RECIST v1.1). Additionally, a patient with a complete response of target tumor reduction had a PR as best response because of unresolved nontarget lesions at the 2-year data cutoff (Wagner et al, JCO 2021); however, this patient later achieved a confirmed complete response (FYARRO Prescribing Information).</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Treatment-related adverse events (“TRAE”) were consistent with those reported for other mTOR inhibitors. The most common hematologic events were anemia and thrombocytopenia, and the most common nonhematologic events were mucositis, rash and fatigue. The details are provided in Table 1 below. There were no grade 4 or 5 TRAEs. Noninfectious pneumonitis occurred in 6/34 (18%) patients and all were low grade (G1/G2). Patient discontinuation due to adverse events occurred on 3/34 (9%) patients (one grade 2 anemia and one grade 1 cystitis). Dose reductions occurred in 12/34 (35%) patients; 11 patients had a one dose reduction from 100 mg/m2 to 75 mg/m2 and 2 patients had two dose reductions to 56 mg/m2.</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Table 2 </w:t>
      </w:r>
      <w:r>
        <w:rPr>
          <w:rFonts w:ascii="Times New Roman" w:cs="Times New Roman" w:eastAsia="Times New Roman" w:hAnsi="Times New Roman"/>
          <w:sz w:val="18"/>
          <w:szCs w:val="18"/>
          <w:color w:val="auto"/>
        </w:rPr>
        <w:t>– Treatment-related adverse events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00" w:type="dxa"/>
            <w:vAlign w:val="bottom"/>
          </w:tcPr>
          <w:p>
            <w:pPr>
              <w:ind w:left="20"/>
              <w:spacing w:after="0"/>
              <w:rPr>
                <w:sz w:val="20"/>
                <w:szCs w:val="20"/>
                <w:color w:val="auto"/>
              </w:rPr>
            </w:pPr>
            <w:r>
              <w:rPr>
                <w:rFonts w:ascii="Calibri" w:cs="Calibri" w:eastAsia="Calibri" w:hAnsi="Calibri"/>
                <w:sz w:val="14"/>
                <w:szCs w:val="14"/>
                <w:b w:val="1"/>
                <w:bCs w:val="1"/>
                <w:color w:val="auto"/>
              </w:rPr>
              <w:t>TRAE</w:t>
            </w:r>
          </w:p>
        </w:tc>
        <w:tc>
          <w:tcPr>
            <w:tcW w:w="2960" w:type="dxa"/>
            <w:vAlign w:val="bottom"/>
            <w:gridSpan w:val="2"/>
          </w:tcPr>
          <w:p>
            <w:pPr>
              <w:ind w:left="720"/>
              <w:spacing w:after="0"/>
              <w:rPr>
                <w:sz w:val="20"/>
                <w:szCs w:val="20"/>
                <w:color w:val="auto"/>
              </w:rPr>
            </w:pPr>
            <w:r>
              <w:rPr>
                <w:rFonts w:ascii="Calibri" w:cs="Calibri" w:eastAsia="Calibri" w:hAnsi="Calibri"/>
                <w:sz w:val="14"/>
                <w:szCs w:val="14"/>
                <w:b w:val="1"/>
                <w:bCs w:val="1"/>
                <w:color w:val="auto"/>
              </w:rPr>
              <w:t>Any Grade ≥ 25%, No. (%)</w:t>
            </w:r>
          </w:p>
        </w:tc>
        <w:tc>
          <w:tcPr>
            <w:tcW w:w="2980" w:type="dxa"/>
            <w:vAlign w:val="bottom"/>
            <w:gridSpan w:val="2"/>
          </w:tcPr>
          <w:p>
            <w:pPr>
              <w:ind w:left="1000"/>
              <w:spacing w:after="0"/>
              <w:rPr>
                <w:sz w:val="20"/>
                <w:szCs w:val="20"/>
                <w:color w:val="auto"/>
              </w:rPr>
            </w:pPr>
            <w:r>
              <w:rPr>
                <w:rFonts w:ascii="Calibri" w:cs="Calibri" w:eastAsia="Calibri" w:hAnsi="Calibri"/>
                <w:sz w:val="14"/>
                <w:szCs w:val="14"/>
                <w:b w:val="1"/>
                <w:bCs w:val="1"/>
                <w:color w:val="auto"/>
              </w:rPr>
              <w:t>Grade 3, No. (%)</w:t>
            </w:r>
          </w:p>
        </w:tc>
      </w:tr>
      <w:tr>
        <w:trPr>
          <w:trHeight w:val="33"/>
        </w:trPr>
        <w:tc>
          <w:tcPr>
            <w:tcW w:w="5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530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Patents with any TRAEs</w:t>
            </w:r>
          </w:p>
        </w:tc>
        <w:tc>
          <w:tcPr>
            <w:tcW w:w="1480" w:type="dxa"/>
            <w:vAlign w:val="bottom"/>
            <w:tcBorders>
              <w:bottom w:val="single" w:sz="8" w:color="auto"/>
            </w:tcBorders>
            <w:shd w:val="clear" w:color="auto" w:fill="E1E0DE"/>
          </w:tcPr>
          <w:p>
            <w:pPr>
              <w:jc w:val="right"/>
              <w:spacing w:after="0" w:line="215" w:lineRule="exact"/>
              <w:rPr>
                <w:sz w:val="20"/>
                <w:szCs w:val="20"/>
                <w:color w:val="auto"/>
              </w:rPr>
            </w:pPr>
            <w:r>
              <w:rPr>
                <w:rFonts w:ascii="Calibri" w:cs="Calibri" w:eastAsia="Calibri" w:hAnsi="Calibri"/>
                <w:sz w:val="18"/>
                <w:szCs w:val="18"/>
                <w:color w:val="auto"/>
              </w:rPr>
              <w:t>34</w:t>
            </w: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(100)</w:t>
            </w:r>
          </w:p>
        </w:tc>
        <w:tc>
          <w:tcPr>
            <w:tcW w:w="1500" w:type="dxa"/>
            <w:vAlign w:val="bottom"/>
            <w:tcBorders>
              <w:bottom w:val="single" w:sz="8" w:color="auto"/>
            </w:tcBorders>
            <w:shd w:val="clear" w:color="auto" w:fill="E1E0DE"/>
          </w:tcPr>
          <w:p>
            <w:pPr>
              <w:spacing w:after="0"/>
              <w:rPr>
                <w:sz w:val="18"/>
                <w:szCs w:val="18"/>
                <w:color w:val="auto"/>
              </w:rPr>
            </w:pPr>
          </w:p>
        </w:tc>
        <w:tc>
          <w:tcPr>
            <w:tcW w:w="1480" w:type="dxa"/>
            <w:vAlign w:val="bottom"/>
            <w:tcBorders>
              <w:bottom w:val="single" w:sz="8" w:color="auto"/>
            </w:tcBorders>
            <w:shd w:val="clear" w:color="auto" w:fill="E1E0DE"/>
          </w:tcPr>
          <w:p>
            <w:pPr>
              <w:spacing w:after="0"/>
              <w:rPr>
                <w:sz w:val="18"/>
                <w:szCs w:val="18"/>
                <w:color w:val="auto"/>
              </w:rPr>
            </w:pPr>
          </w:p>
        </w:tc>
      </w:tr>
      <w:tr>
        <w:trPr>
          <w:trHeight w:val="223"/>
        </w:trPr>
        <w:tc>
          <w:tcPr>
            <w:tcW w:w="530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Hematologic TRAEs</w:t>
            </w:r>
          </w:p>
        </w:tc>
        <w:tc>
          <w:tcPr>
            <w:tcW w:w="1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229"/>
        </w:trPr>
        <w:tc>
          <w:tcPr>
            <w:tcW w:w="5300" w:type="dxa"/>
            <w:vAlign w:val="bottom"/>
            <w:tcBorders>
              <w:bottom w:val="single" w:sz="8" w:color="auto"/>
            </w:tcBorders>
          </w:tcPr>
          <w:p>
            <w:pPr>
              <w:ind w:left="240"/>
              <w:spacing w:after="0" w:line="230" w:lineRule="exact"/>
              <w:rPr>
                <w:sz w:val="20"/>
                <w:szCs w:val="20"/>
                <w:color w:val="auto"/>
              </w:rPr>
            </w:pPr>
            <w:r>
              <w:rPr>
                <w:rFonts w:ascii="Calibri" w:cs="Calibri" w:eastAsia="Calibri" w:hAnsi="Calibri"/>
                <w:sz w:val="18"/>
                <w:szCs w:val="18"/>
                <w:color w:val="auto"/>
              </w:rPr>
              <w:t>Anemia</w:t>
            </w:r>
            <w:r>
              <w:rPr>
                <w:rFonts w:ascii="Calibri" w:cs="Calibri" w:eastAsia="Calibri" w:hAnsi="Calibri"/>
                <w:sz w:val="23"/>
                <w:szCs w:val="23"/>
                <w:color w:val="auto"/>
                <w:vertAlign w:val="superscript"/>
              </w:rPr>
              <w:t>a</w:t>
            </w:r>
          </w:p>
        </w:tc>
        <w:tc>
          <w:tcPr>
            <w:tcW w:w="14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w:t>
            </w:r>
          </w:p>
        </w:tc>
        <w:tc>
          <w:tcPr>
            <w:tcW w:w="148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(47)</w:t>
            </w:r>
          </w:p>
        </w:tc>
        <w:tc>
          <w:tcPr>
            <w:tcW w:w="15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w:t>
            </w:r>
          </w:p>
        </w:tc>
        <w:tc>
          <w:tcPr>
            <w:tcW w:w="148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(12)</w:t>
            </w:r>
          </w:p>
        </w:tc>
      </w:tr>
      <w:tr>
        <w:trPr>
          <w:trHeight w:val="223"/>
        </w:trPr>
        <w:tc>
          <w:tcPr>
            <w:tcW w:w="5300" w:type="dxa"/>
            <w:vAlign w:val="bottom"/>
            <w:tcBorders>
              <w:bottom w:val="single" w:sz="8" w:color="auto"/>
            </w:tcBorders>
          </w:tcPr>
          <w:p>
            <w:pPr>
              <w:ind w:left="240"/>
              <w:spacing w:after="0" w:line="223" w:lineRule="exact"/>
              <w:rPr>
                <w:sz w:val="20"/>
                <w:szCs w:val="20"/>
                <w:color w:val="auto"/>
              </w:rPr>
            </w:pPr>
            <w:r>
              <w:rPr>
                <w:rFonts w:ascii="Calibri" w:cs="Calibri" w:eastAsia="Calibri" w:hAnsi="Calibri"/>
                <w:sz w:val="18"/>
                <w:szCs w:val="18"/>
                <w:color w:val="auto"/>
              </w:rPr>
              <w:t>Thrombocytopenia</w:t>
            </w:r>
            <w:r>
              <w:rPr>
                <w:rFonts w:ascii="Calibri" w:cs="Calibri" w:eastAsia="Calibri" w:hAnsi="Calibri"/>
                <w:sz w:val="23"/>
                <w:szCs w:val="23"/>
                <w:color w:val="auto"/>
                <w:vertAlign w:val="superscript"/>
              </w:rPr>
              <w:t>a</w:t>
            </w:r>
          </w:p>
        </w:tc>
        <w:tc>
          <w:tcPr>
            <w:tcW w:w="14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w:t>
            </w:r>
          </w:p>
        </w:tc>
        <w:tc>
          <w:tcPr>
            <w:tcW w:w="148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(32)</w:t>
            </w:r>
          </w:p>
        </w:tc>
        <w:tc>
          <w:tcPr>
            <w:tcW w:w="15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148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(3)</w:t>
            </w:r>
          </w:p>
        </w:tc>
      </w:tr>
      <w:tr>
        <w:trPr>
          <w:trHeight w:val="217"/>
        </w:trPr>
        <w:tc>
          <w:tcPr>
            <w:tcW w:w="530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Nonhematologic TRAEs</w:t>
            </w:r>
          </w:p>
        </w:tc>
        <w:tc>
          <w:tcPr>
            <w:tcW w:w="1480" w:type="dxa"/>
            <w:vAlign w:val="bottom"/>
            <w:tcBorders>
              <w:bottom w:val="single" w:sz="8" w:color="auto"/>
            </w:tcBorders>
            <w:shd w:val="clear" w:color="auto" w:fill="E1E0DE"/>
          </w:tcPr>
          <w:p>
            <w:pPr>
              <w:spacing w:after="0"/>
              <w:rPr>
                <w:sz w:val="18"/>
                <w:szCs w:val="18"/>
                <w:color w:val="auto"/>
              </w:rPr>
            </w:pPr>
          </w:p>
        </w:tc>
        <w:tc>
          <w:tcPr>
            <w:tcW w:w="1480" w:type="dxa"/>
            <w:vAlign w:val="bottom"/>
            <w:tcBorders>
              <w:bottom w:val="single" w:sz="8" w:color="auto"/>
            </w:tcBorders>
            <w:shd w:val="clear" w:color="auto" w:fill="E1E0DE"/>
          </w:tcPr>
          <w:p>
            <w:pPr>
              <w:spacing w:after="0"/>
              <w:rPr>
                <w:sz w:val="18"/>
                <w:szCs w:val="18"/>
                <w:color w:val="auto"/>
              </w:rPr>
            </w:pPr>
          </w:p>
        </w:tc>
        <w:tc>
          <w:tcPr>
            <w:tcW w:w="1500" w:type="dxa"/>
            <w:vAlign w:val="bottom"/>
            <w:tcBorders>
              <w:bottom w:val="single" w:sz="8" w:color="auto"/>
            </w:tcBorders>
            <w:shd w:val="clear" w:color="auto" w:fill="E1E0DE"/>
          </w:tcPr>
          <w:p>
            <w:pPr>
              <w:spacing w:after="0"/>
              <w:rPr>
                <w:sz w:val="18"/>
                <w:szCs w:val="18"/>
                <w:color w:val="auto"/>
              </w:rPr>
            </w:pPr>
          </w:p>
        </w:tc>
        <w:tc>
          <w:tcPr>
            <w:tcW w:w="1480" w:type="dxa"/>
            <w:vAlign w:val="bottom"/>
            <w:tcBorders>
              <w:bottom w:val="single" w:sz="8" w:color="auto"/>
            </w:tcBorders>
            <w:shd w:val="clear" w:color="auto" w:fill="E1E0DE"/>
          </w:tcPr>
          <w:p>
            <w:pPr>
              <w:spacing w:after="0"/>
              <w:rPr>
                <w:sz w:val="18"/>
                <w:szCs w:val="18"/>
                <w:color w:val="auto"/>
              </w:rPr>
            </w:pPr>
          </w:p>
        </w:tc>
      </w:tr>
      <w:tr>
        <w:trPr>
          <w:trHeight w:val="230"/>
        </w:trPr>
        <w:tc>
          <w:tcPr>
            <w:tcW w:w="5300" w:type="dxa"/>
            <w:vAlign w:val="bottom"/>
            <w:tcBorders>
              <w:bottom w:val="single" w:sz="8" w:color="auto"/>
            </w:tcBorders>
            <w:shd w:val="clear" w:color="auto" w:fill="E1E0DE"/>
          </w:tcPr>
          <w:p>
            <w:pPr>
              <w:ind w:left="240"/>
              <w:spacing w:after="0" w:line="230" w:lineRule="exact"/>
              <w:rPr>
                <w:sz w:val="20"/>
                <w:szCs w:val="20"/>
                <w:color w:val="auto"/>
              </w:rPr>
            </w:pPr>
            <w:r>
              <w:rPr>
                <w:rFonts w:ascii="Calibri" w:cs="Calibri" w:eastAsia="Calibri" w:hAnsi="Calibri"/>
                <w:sz w:val="18"/>
                <w:szCs w:val="18"/>
                <w:color w:val="auto"/>
              </w:rPr>
              <w:t>Mucosits</w:t>
            </w:r>
            <w:r>
              <w:rPr>
                <w:rFonts w:ascii="Calibri" w:cs="Calibri" w:eastAsia="Calibri" w:hAnsi="Calibri"/>
                <w:sz w:val="23"/>
                <w:szCs w:val="23"/>
                <w:color w:val="auto"/>
                <w:vertAlign w:val="superscript"/>
              </w:rPr>
              <w:t>a</w:t>
            </w:r>
          </w:p>
        </w:tc>
        <w:tc>
          <w:tcPr>
            <w:tcW w:w="1480" w:type="dxa"/>
            <w:vAlign w:val="bottom"/>
            <w:tcBorders>
              <w:bottom w:val="single" w:sz="8" w:color="auto"/>
            </w:tcBorders>
            <w:shd w:val="clear" w:color="auto" w:fill="E1E0DE"/>
          </w:tcPr>
          <w:p>
            <w:pPr>
              <w:jc w:val="right"/>
              <w:spacing w:after="0" w:line="215" w:lineRule="exact"/>
              <w:rPr>
                <w:sz w:val="20"/>
                <w:szCs w:val="20"/>
                <w:color w:val="auto"/>
              </w:rPr>
            </w:pPr>
            <w:r>
              <w:rPr>
                <w:rFonts w:ascii="Calibri" w:cs="Calibri" w:eastAsia="Calibri" w:hAnsi="Calibri"/>
                <w:sz w:val="18"/>
                <w:szCs w:val="18"/>
                <w:color w:val="auto"/>
              </w:rPr>
              <w:t>27</w:t>
            </w: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(79)</w:t>
            </w:r>
          </w:p>
        </w:tc>
        <w:tc>
          <w:tcPr>
            <w:tcW w:w="1500" w:type="dxa"/>
            <w:vAlign w:val="bottom"/>
            <w:tcBorders>
              <w:bottom w:val="single" w:sz="8" w:color="auto"/>
            </w:tcBorders>
            <w:shd w:val="clear" w:color="auto" w:fill="E1E0DE"/>
          </w:tcPr>
          <w:p>
            <w:pPr>
              <w:jc w:val="right"/>
              <w:spacing w:after="0" w:line="215" w:lineRule="exact"/>
              <w:rPr>
                <w:sz w:val="20"/>
                <w:szCs w:val="20"/>
                <w:color w:val="auto"/>
              </w:rPr>
            </w:pPr>
            <w:r>
              <w:rPr>
                <w:rFonts w:ascii="Calibri" w:cs="Calibri" w:eastAsia="Calibri" w:hAnsi="Calibri"/>
                <w:sz w:val="18"/>
                <w:szCs w:val="18"/>
                <w:color w:val="auto"/>
              </w:rPr>
              <w:t>6</w:t>
            </w: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(18)</w:t>
            </w:r>
          </w:p>
        </w:tc>
      </w:tr>
      <w:tr>
        <w:trPr>
          <w:trHeight w:val="223"/>
        </w:trPr>
        <w:tc>
          <w:tcPr>
            <w:tcW w:w="5300" w:type="dxa"/>
            <w:vAlign w:val="bottom"/>
            <w:tcBorders>
              <w:bottom w:val="single" w:sz="8" w:color="auto"/>
            </w:tcBorders>
            <w:shd w:val="clear" w:color="auto" w:fill="E1E0DE"/>
          </w:tcPr>
          <w:p>
            <w:pPr>
              <w:ind w:left="240"/>
              <w:spacing w:after="0" w:line="223" w:lineRule="exact"/>
              <w:rPr>
                <w:sz w:val="20"/>
                <w:szCs w:val="20"/>
                <w:color w:val="auto"/>
              </w:rPr>
            </w:pPr>
            <w:r>
              <w:rPr>
                <w:rFonts w:ascii="Calibri" w:cs="Calibri" w:eastAsia="Calibri" w:hAnsi="Calibri"/>
                <w:sz w:val="18"/>
                <w:szCs w:val="18"/>
                <w:color w:val="auto"/>
              </w:rPr>
              <w:t>Rash</w:t>
            </w:r>
            <w:r>
              <w:rPr>
                <w:rFonts w:ascii="Calibri" w:cs="Calibri" w:eastAsia="Calibri" w:hAnsi="Calibri"/>
                <w:sz w:val="23"/>
                <w:szCs w:val="23"/>
                <w:color w:val="auto"/>
                <w:vertAlign w:val="superscript"/>
              </w:rPr>
              <w:t>a</w:t>
            </w:r>
          </w:p>
        </w:tc>
        <w:tc>
          <w:tcPr>
            <w:tcW w:w="1480" w:type="dxa"/>
            <w:vAlign w:val="bottom"/>
            <w:tcBorders>
              <w:bottom w:val="single" w:sz="8" w:color="auto"/>
            </w:tcBorders>
            <w:shd w:val="clear" w:color="auto" w:fill="E1E0DE"/>
          </w:tcPr>
          <w:p>
            <w:pPr>
              <w:jc w:val="right"/>
              <w:spacing w:after="0" w:line="215" w:lineRule="exact"/>
              <w:rPr>
                <w:sz w:val="20"/>
                <w:szCs w:val="20"/>
                <w:color w:val="auto"/>
              </w:rPr>
            </w:pPr>
            <w:r>
              <w:rPr>
                <w:rFonts w:ascii="Calibri" w:cs="Calibri" w:eastAsia="Calibri" w:hAnsi="Calibri"/>
                <w:sz w:val="18"/>
                <w:szCs w:val="18"/>
                <w:color w:val="auto"/>
              </w:rPr>
              <w:t>19</w:t>
            </w: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(56)</w:t>
            </w:r>
          </w:p>
        </w:tc>
        <w:tc>
          <w:tcPr>
            <w:tcW w:w="1500" w:type="dxa"/>
            <w:vAlign w:val="bottom"/>
            <w:tcBorders>
              <w:bottom w:val="single" w:sz="8" w:color="auto"/>
            </w:tcBorders>
            <w:shd w:val="clear" w:color="auto" w:fill="E1E0DE"/>
          </w:tcPr>
          <w:p>
            <w:pPr>
              <w:spacing w:after="0"/>
              <w:rPr>
                <w:sz w:val="19"/>
                <w:szCs w:val="19"/>
                <w:color w:val="auto"/>
              </w:rPr>
            </w:pP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5300" w:type="dxa"/>
            <w:vAlign w:val="bottom"/>
            <w:tcBorders>
              <w:bottom w:val="single" w:sz="8" w:color="auto"/>
            </w:tcBorders>
            <w:shd w:val="clear" w:color="auto" w:fill="E1E0DE"/>
          </w:tcPr>
          <w:p>
            <w:pPr>
              <w:ind w:left="240"/>
              <w:spacing w:after="0" w:line="215" w:lineRule="exact"/>
              <w:rPr>
                <w:sz w:val="20"/>
                <w:szCs w:val="20"/>
                <w:color w:val="auto"/>
              </w:rPr>
            </w:pPr>
            <w:r>
              <w:rPr>
                <w:rFonts w:ascii="Calibri" w:cs="Calibri" w:eastAsia="Calibri" w:hAnsi="Calibri"/>
                <w:sz w:val="18"/>
                <w:szCs w:val="18"/>
                <w:color w:val="auto"/>
              </w:rPr>
              <w:t>Fatgue</w:t>
            </w:r>
          </w:p>
        </w:tc>
        <w:tc>
          <w:tcPr>
            <w:tcW w:w="1480" w:type="dxa"/>
            <w:vAlign w:val="bottom"/>
            <w:tcBorders>
              <w:bottom w:val="single" w:sz="8" w:color="auto"/>
            </w:tcBorders>
            <w:shd w:val="clear" w:color="auto" w:fill="E1E0DE"/>
          </w:tcPr>
          <w:p>
            <w:pPr>
              <w:jc w:val="right"/>
              <w:spacing w:after="0" w:line="215" w:lineRule="exact"/>
              <w:rPr>
                <w:sz w:val="20"/>
                <w:szCs w:val="20"/>
                <w:color w:val="auto"/>
              </w:rPr>
            </w:pPr>
            <w:r>
              <w:rPr>
                <w:rFonts w:ascii="Calibri" w:cs="Calibri" w:eastAsia="Calibri" w:hAnsi="Calibri"/>
                <w:sz w:val="18"/>
                <w:szCs w:val="18"/>
                <w:color w:val="auto"/>
              </w:rPr>
              <w:t>20</w:t>
            </w: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(59)</w:t>
            </w:r>
          </w:p>
        </w:tc>
        <w:tc>
          <w:tcPr>
            <w:tcW w:w="1500" w:type="dxa"/>
            <w:vAlign w:val="bottom"/>
            <w:tcBorders>
              <w:bottom w:val="single" w:sz="8" w:color="auto"/>
            </w:tcBorders>
            <w:shd w:val="clear" w:color="auto" w:fill="E1E0DE"/>
          </w:tcPr>
          <w:p>
            <w:pPr>
              <w:jc w:val="right"/>
              <w:spacing w:after="0" w:line="215" w:lineRule="exact"/>
              <w:rPr>
                <w:sz w:val="20"/>
                <w:szCs w:val="20"/>
                <w:color w:val="auto"/>
              </w:rPr>
            </w:pPr>
            <w:r>
              <w:rPr>
                <w:rFonts w:ascii="Calibri" w:cs="Calibri" w:eastAsia="Calibri" w:hAnsi="Calibri"/>
                <w:sz w:val="18"/>
                <w:szCs w:val="18"/>
                <w:color w:val="auto"/>
              </w:rPr>
              <w:t>1</w:t>
            </w: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(3)</w:t>
            </w:r>
          </w:p>
        </w:tc>
      </w:tr>
      <w:tr>
        <w:trPr>
          <w:trHeight w:val="223"/>
        </w:trPr>
        <w:tc>
          <w:tcPr>
            <w:tcW w:w="5300" w:type="dxa"/>
            <w:vAlign w:val="bottom"/>
            <w:tcBorders>
              <w:bottom w:val="single" w:sz="8" w:color="auto"/>
            </w:tcBorders>
            <w:shd w:val="clear" w:color="auto" w:fill="E1E0DE"/>
          </w:tcPr>
          <w:p>
            <w:pPr>
              <w:ind w:left="240"/>
              <w:spacing w:after="0" w:line="215" w:lineRule="exact"/>
              <w:rPr>
                <w:sz w:val="20"/>
                <w:szCs w:val="20"/>
                <w:color w:val="auto"/>
              </w:rPr>
            </w:pPr>
            <w:r>
              <w:rPr>
                <w:rFonts w:ascii="Calibri" w:cs="Calibri" w:eastAsia="Calibri" w:hAnsi="Calibri"/>
                <w:sz w:val="18"/>
                <w:szCs w:val="18"/>
                <w:color w:val="auto"/>
              </w:rPr>
              <w:t>Nausea</w:t>
            </w:r>
          </w:p>
        </w:tc>
        <w:tc>
          <w:tcPr>
            <w:tcW w:w="1480" w:type="dxa"/>
            <w:vAlign w:val="bottom"/>
            <w:tcBorders>
              <w:bottom w:val="single" w:sz="8" w:color="auto"/>
            </w:tcBorders>
            <w:shd w:val="clear" w:color="auto" w:fill="E1E0DE"/>
          </w:tcPr>
          <w:p>
            <w:pPr>
              <w:jc w:val="right"/>
              <w:spacing w:after="0" w:line="215" w:lineRule="exact"/>
              <w:rPr>
                <w:sz w:val="20"/>
                <w:szCs w:val="20"/>
                <w:color w:val="auto"/>
              </w:rPr>
            </w:pPr>
            <w:r>
              <w:rPr>
                <w:rFonts w:ascii="Calibri" w:cs="Calibri" w:eastAsia="Calibri" w:hAnsi="Calibri"/>
                <w:sz w:val="18"/>
                <w:szCs w:val="18"/>
                <w:color w:val="auto"/>
              </w:rPr>
              <w:t>16</w:t>
            </w: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(47)</w:t>
            </w:r>
          </w:p>
        </w:tc>
        <w:tc>
          <w:tcPr>
            <w:tcW w:w="1500" w:type="dxa"/>
            <w:vAlign w:val="bottom"/>
            <w:tcBorders>
              <w:bottom w:val="single" w:sz="8" w:color="auto"/>
            </w:tcBorders>
            <w:shd w:val="clear" w:color="auto" w:fill="E1E0DE"/>
          </w:tcPr>
          <w:p>
            <w:pPr>
              <w:spacing w:after="0"/>
              <w:rPr>
                <w:sz w:val="19"/>
                <w:szCs w:val="19"/>
                <w:color w:val="auto"/>
              </w:rPr>
            </w:pP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w:t>
            </w:r>
          </w:p>
        </w:tc>
      </w:tr>
      <w:tr>
        <w:trPr>
          <w:trHeight w:val="223"/>
        </w:trPr>
        <w:tc>
          <w:tcPr>
            <w:tcW w:w="5300" w:type="dxa"/>
            <w:vAlign w:val="bottom"/>
            <w:tcBorders>
              <w:bottom w:val="single" w:sz="8" w:color="auto"/>
            </w:tcBorders>
            <w:shd w:val="clear" w:color="auto" w:fill="E1E0DE"/>
          </w:tcPr>
          <w:p>
            <w:pPr>
              <w:ind w:left="240"/>
              <w:spacing w:after="0" w:line="215" w:lineRule="exact"/>
              <w:rPr>
                <w:sz w:val="20"/>
                <w:szCs w:val="20"/>
                <w:color w:val="auto"/>
              </w:rPr>
            </w:pPr>
            <w:r>
              <w:rPr>
                <w:rFonts w:ascii="Calibri" w:cs="Calibri" w:eastAsia="Calibri" w:hAnsi="Calibri"/>
                <w:sz w:val="18"/>
                <w:szCs w:val="18"/>
                <w:color w:val="auto"/>
              </w:rPr>
              <w:t>Diarrhea</w:t>
            </w:r>
          </w:p>
        </w:tc>
        <w:tc>
          <w:tcPr>
            <w:tcW w:w="1480" w:type="dxa"/>
            <w:vAlign w:val="bottom"/>
            <w:tcBorders>
              <w:bottom w:val="single" w:sz="8" w:color="auto"/>
            </w:tcBorders>
            <w:shd w:val="clear" w:color="auto" w:fill="E1E0DE"/>
          </w:tcPr>
          <w:p>
            <w:pPr>
              <w:jc w:val="right"/>
              <w:spacing w:after="0" w:line="215" w:lineRule="exact"/>
              <w:rPr>
                <w:sz w:val="20"/>
                <w:szCs w:val="20"/>
                <w:color w:val="auto"/>
              </w:rPr>
            </w:pPr>
            <w:r>
              <w:rPr>
                <w:rFonts w:ascii="Calibri" w:cs="Calibri" w:eastAsia="Calibri" w:hAnsi="Calibri"/>
                <w:sz w:val="18"/>
                <w:szCs w:val="18"/>
                <w:color w:val="auto"/>
              </w:rPr>
              <w:t>13</w:t>
            </w: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(38)</w:t>
            </w:r>
          </w:p>
        </w:tc>
        <w:tc>
          <w:tcPr>
            <w:tcW w:w="1500" w:type="dxa"/>
            <w:vAlign w:val="bottom"/>
            <w:tcBorders>
              <w:bottom w:val="single" w:sz="8" w:color="auto"/>
            </w:tcBorders>
            <w:shd w:val="clear" w:color="auto" w:fill="E1E0DE"/>
          </w:tcPr>
          <w:p>
            <w:pPr>
              <w:spacing w:after="0"/>
              <w:rPr>
                <w:sz w:val="19"/>
                <w:szCs w:val="19"/>
                <w:color w:val="auto"/>
              </w:rPr>
            </w:pP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w:t>
            </w:r>
          </w:p>
        </w:tc>
      </w:tr>
      <w:tr>
        <w:trPr>
          <w:trHeight w:val="223"/>
        </w:trPr>
        <w:tc>
          <w:tcPr>
            <w:tcW w:w="5300" w:type="dxa"/>
            <w:vAlign w:val="bottom"/>
            <w:tcBorders>
              <w:bottom w:val="single" w:sz="8" w:color="auto"/>
            </w:tcBorders>
            <w:shd w:val="clear" w:color="auto" w:fill="E1E0DE"/>
          </w:tcPr>
          <w:p>
            <w:pPr>
              <w:ind w:left="240"/>
              <w:spacing w:after="0" w:line="215" w:lineRule="exact"/>
              <w:rPr>
                <w:sz w:val="20"/>
                <w:szCs w:val="20"/>
                <w:color w:val="auto"/>
              </w:rPr>
            </w:pPr>
            <w:r>
              <w:rPr>
                <w:rFonts w:ascii="Calibri" w:cs="Calibri" w:eastAsia="Calibri" w:hAnsi="Calibri"/>
                <w:sz w:val="18"/>
                <w:szCs w:val="18"/>
                <w:color w:val="auto"/>
              </w:rPr>
              <w:t>Weight decreased</w:t>
            </w:r>
          </w:p>
        </w:tc>
        <w:tc>
          <w:tcPr>
            <w:tcW w:w="1480" w:type="dxa"/>
            <w:vAlign w:val="bottom"/>
            <w:tcBorders>
              <w:bottom w:val="single" w:sz="8" w:color="auto"/>
            </w:tcBorders>
            <w:shd w:val="clear" w:color="auto" w:fill="E1E0DE"/>
          </w:tcPr>
          <w:p>
            <w:pPr>
              <w:jc w:val="right"/>
              <w:spacing w:after="0" w:line="215" w:lineRule="exact"/>
              <w:rPr>
                <w:sz w:val="20"/>
                <w:szCs w:val="20"/>
                <w:color w:val="auto"/>
              </w:rPr>
            </w:pPr>
            <w:r>
              <w:rPr>
                <w:rFonts w:ascii="Calibri" w:cs="Calibri" w:eastAsia="Calibri" w:hAnsi="Calibri"/>
                <w:sz w:val="18"/>
                <w:szCs w:val="18"/>
                <w:color w:val="auto"/>
              </w:rPr>
              <w:t>13</w:t>
            </w: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(38)</w:t>
            </w:r>
          </w:p>
        </w:tc>
        <w:tc>
          <w:tcPr>
            <w:tcW w:w="1500" w:type="dxa"/>
            <w:vAlign w:val="bottom"/>
            <w:tcBorders>
              <w:bottom w:val="single" w:sz="8" w:color="auto"/>
            </w:tcBorders>
            <w:shd w:val="clear" w:color="auto" w:fill="E1E0DE"/>
          </w:tcPr>
          <w:p>
            <w:pPr>
              <w:spacing w:after="0"/>
              <w:rPr>
                <w:sz w:val="19"/>
                <w:szCs w:val="19"/>
                <w:color w:val="auto"/>
              </w:rPr>
            </w:pP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w:t>
            </w:r>
          </w:p>
        </w:tc>
      </w:tr>
      <w:tr>
        <w:trPr>
          <w:trHeight w:val="229"/>
        </w:trPr>
        <w:tc>
          <w:tcPr>
            <w:tcW w:w="5300" w:type="dxa"/>
            <w:vAlign w:val="bottom"/>
            <w:tcBorders>
              <w:bottom w:val="single" w:sz="8" w:color="auto"/>
            </w:tcBorders>
            <w:shd w:val="clear" w:color="auto" w:fill="E1E0DE"/>
          </w:tcPr>
          <w:p>
            <w:pPr>
              <w:ind w:left="240"/>
              <w:spacing w:after="0" w:line="230" w:lineRule="exact"/>
              <w:rPr>
                <w:sz w:val="20"/>
                <w:szCs w:val="20"/>
                <w:color w:val="auto"/>
              </w:rPr>
            </w:pPr>
            <w:r>
              <w:rPr>
                <w:rFonts w:ascii="Calibri" w:cs="Calibri" w:eastAsia="Calibri" w:hAnsi="Calibri"/>
                <w:sz w:val="18"/>
                <w:szCs w:val="18"/>
                <w:color w:val="auto"/>
              </w:rPr>
              <w:t>Hyperglycemia</w:t>
            </w:r>
            <w:r>
              <w:rPr>
                <w:rFonts w:ascii="Calibri" w:cs="Calibri" w:eastAsia="Calibri" w:hAnsi="Calibri"/>
                <w:sz w:val="23"/>
                <w:szCs w:val="23"/>
                <w:color w:val="auto"/>
                <w:vertAlign w:val="superscript"/>
              </w:rPr>
              <w:t>a</w:t>
            </w:r>
          </w:p>
        </w:tc>
        <w:tc>
          <w:tcPr>
            <w:tcW w:w="1480" w:type="dxa"/>
            <w:vAlign w:val="bottom"/>
            <w:tcBorders>
              <w:bottom w:val="single" w:sz="8" w:color="auto"/>
            </w:tcBorders>
            <w:shd w:val="clear" w:color="auto" w:fill="E1E0DE"/>
          </w:tcPr>
          <w:p>
            <w:pPr>
              <w:jc w:val="right"/>
              <w:spacing w:after="0" w:line="215" w:lineRule="exact"/>
              <w:rPr>
                <w:sz w:val="20"/>
                <w:szCs w:val="20"/>
                <w:color w:val="auto"/>
              </w:rPr>
            </w:pPr>
            <w:r>
              <w:rPr>
                <w:rFonts w:ascii="Calibri" w:cs="Calibri" w:eastAsia="Calibri" w:hAnsi="Calibri"/>
                <w:sz w:val="18"/>
                <w:szCs w:val="18"/>
                <w:color w:val="auto"/>
              </w:rPr>
              <w:t>12</w:t>
            </w: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(35)</w:t>
            </w:r>
          </w:p>
        </w:tc>
        <w:tc>
          <w:tcPr>
            <w:tcW w:w="1500" w:type="dxa"/>
            <w:vAlign w:val="bottom"/>
            <w:tcBorders>
              <w:bottom w:val="single" w:sz="8" w:color="auto"/>
            </w:tcBorders>
            <w:shd w:val="clear" w:color="auto" w:fill="E1E0DE"/>
          </w:tcPr>
          <w:p>
            <w:pPr>
              <w:jc w:val="right"/>
              <w:spacing w:after="0" w:line="215" w:lineRule="exact"/>
              <w:rPr>
                <w:sz w:val="20"/>
                <w:szCs w:val="20"/>
                <w:color w:val="auto"/>
              </w:rPr>
            </w:pPr>
            <w:r>
              <w:rPr>
                <w:rFonts w:ascii="Calibri" w:cs="Calibri" w:eastAsia="Calibri" w:hAnsi="Calibri"/>
                <w:sz w:val="18"/>
                <w:szCs w:val="18"/>
                <w:color w:val="auto"/>
              </w:rPr>
              <w:t>3</w:t>
            </w: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(9)</w:t>
            </w:r>
          </w:p>
        </w:tc>
      </w:tr>
      <w:tr>
        <w:trPr>
          <w:trHeight w:val="223"/>
        </w:trPr>
        <w:tc>
          <w:tcPr>
            <w:tcW w:w="5300" w:type="dxa"/>
            <w:vAlign w:val="bottom"/>
            <w:tcBorders>
              <w:bottom w:val="single" w:sz="8" w:color="auto"/>
            </w:tcBorders>
            <w:shd w:val="clear" w:color="auto" w:fill="E1E0DE"/>
          </w:tcPr>
          <w:p>
            <w:pPr>
              <w:ind w:left="240"/>
              <w:spacing w:after="0" w:line="223" w:lineRule="exact"/>
              <w:rPr>
                <w:sz w:val="20"/>
                <w:szCs w:val="20"/>
                <w:color w:val="auto"/>
              </w:rPr>
            </w:pPr>
            <w:r>
              <w:rPr>
                <w:rFonts w:ascii="Calibri" w:cs="Calibri" w:eastAsia="Calibri" w:hAnsi="Calibri"/>
                <w:sz w:val="18"/>
                <w:szCs w:val="18"/>
                <w:color w:val="auto"/>
              </w:rPr>
              <w:t>Hypertriglyceridemia</w:t>
            </w:r>
            <w:r>
              <w:rPr>
                <w:rFonts w:ascii="Calibri" w:cs="Calibri" w:eastAsia="Calibri" w:hAnsi="Calibri"/>
                <w:sz w:val="23"/>
                <w:szCs w:val="23"/>
                <w:color w:val="auto"/>
                <w:vertAlign w:val="superscript"/>
              </w:rPr>
              <w:t>a</w:t>
            </w:r>
          </w:p>
        </w:tc>
        <w:tc>
          <w:tcPr>
            <w:tcW w:w="1480" w:type="dxa"/>
            <w:vAlign w:val="bottom"/>
            <w:tcBorders>
              <w:bottom w:val="single" w:sz="8" w:color="auto"/>
            </w:tcBorders>
            <w:shd w:val="clear" w:color="auto" w:fill="E1E0DE"/>
          </w:tcPr>
          <w:p>
            <w:pPr>
              <w:jc w:val="right"/>
              <w:spacing w:after="0" w:line="215" w:lineRule="exact"/>
              <w:rPr>
                <w:sz w:val="20"/>
                <w:szCs w:val="20"/>
                <w:color w:val="auto"/>
              </w:rPr>
            </w:pPr>
            <w:r>
              <w:rPr>
                <w:rFonts w:ascii="Calibri" w:cs="Calibri" w:eastAsia="Calibri" w:hAnsi="Calibri"/>
                <w:sz w:val="18"/>
                <w:szCs w:val="18"/>
                <w:color w:val="auto"/>
              </w:rPr>
              <w:t>11</w:t>
            </w: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(32)</w:t>
            </w:r>
          </w:p>
        </w:tc>
        <w:tc>
          <w:tcPr>
            <w:tcW w:w="1500" w:type="dxa"/>
            <w:vAlign w:val="bottom"/>
            <w:tcBorders>
              <w:bottom w:val="single" w:sz="8" w:color="auto"/>
            </w:tcBorders>
            <w:shd w:val="clear" w:color="auto" w:fill="E1E0DE"/>
          </w:tcPr>
          <w:p>
            <w:pPr>
              <w:jc w:val="right"/>
              <w:spacing w:after="0" w:line="215" w:lineRule="exact"/>
              <w:rPr>
                <w:sz w:val="20"/>
                <w:szCs w:val="20"/>
                <w:color w:val="auto"/>
              </w:rPr>
            </w:pPr>
            <w:r>
              <w:rPr>
                <w:rFonts w:ascii="Calibri" w:cs="Calibri" w:eastAsia="Calibri" w:hAnsi="Calibri"/>
                <w:sz w:val="18"/>
                <w:szCs w:val="18"/>
                <w:color w:val="auto"/>
              </w:rPr>
              <w:t>1</w:t>
            </w: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(3)</w:t>
            </w:r>
          </w:p>
        </w:tc>
      </w:tr>
      <w:tr>
        <w:trPr>
          <w:trHeight w:val="223"/>
        </w:trPr>
        <w:tc>
          <w:tcPr>
            <w:tcW w:w="5300" w:type="dxa"/>
            <w:vAlign w:val="bottom"/>
            <w:tcBorders>
              <w:bottom w:val="single" w:sz="8" w:color="auto"/>
            </w:tcBorders>
            <w:shd w:val="clear" w:color="auto" w:fill="E1E0DE"/>
          </w:tcPr>
          <w:p>
            <w:pPr>
              <w:ind w:left="240"/>
              <w:spacing w:after="0" w:line="223" w:lineRule="exact"/>
              <w:rPr>
                <w:sz w:val="20"/>
                <w:szCs w:val="20"/>
                <w:color w:val="auto"/>
              </w:rPr>
            </w:pPr>
            <w:r>
              <w:rPr>
                <w:rFonts w:ascii="Calibri" w:cs="Calibri" w:eastAsia="Calibri" w:hAnsi="Calibri"/>
                <w:sz w:val="18"/>
                <w:szCs w:val="18"/>
                <w:color w:val="auto"/>
              </w:rPr>
              <w:t>Hypercholesterolemia</w:t>
            </w:r>
            <w:r>
              <w:rPr>
                <w:rFonts w:ascii="Calibri" w:cs="Calibri" w:eastAsia="Calibri" w:hAnsi="Calibri"/>
                <w:sz w:val="23"/>
                <w:szCs w:val="23"/>
                <w:color w:val="auto"/>
                <w:vertAlign w:val="superscript"/>
              </w:rPr>
              <w:t>a</w:t>
            </w:r>
          </w:p>
        </w:tc>
        <w:tc>
          <w:tcPr>
            <w:tcW w:w="1480" w:type="dxa"/>
            <w:vAlign w:val="bottom"/>
            <w:tcBorders>
              <w:bottom w:val="single" w:sz="8" w:color="auto"/>
            </w:tcBorders>
            <w:shd w:val="clear" w:color="auto" w:fill="E1E0DE"/>
          </w:tcPr>
          <w:p>
            <w:pPr>
              <w:jc w:val="right"/>
              <w:spacing w:after="0" w:line="215" w:lineRule="exact"/>
              <w:rPr>
                <w:sz w:val="20"/>
                <w:szCs w:val="20"/>
                <w:color w:val="auto"/>
              </w:rPr>
            </w:pPr>
            <w:r>
              <w:rPr>
                <w:rFonts w:ascii="Calibri" w:cs="Calibri" w:eastAsia="Calibri" w:hAnsi="Calibri"/>
                <w:sz w:val="18"/>
                <w:szCs w:val="18"/>
                <w:color w:val="auto"/>
              </w:rPr>
              <w:t>11</w:t>
            </w: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(32)</w:t>
            </w:r>
          </w:p>
        </w:tc>
        <w:tc>
          <w:tcPr>
            <w:tcW w:w="1500" w:type="dxa"/>
            <w:vAlign w:val="bottom"/>
            <w:tcBorders>
              <w:bottom w:val="single" w:sz="8" w:color="auto"/>
            </w:tcBorders>
            <w:shd w:val="clear" w:color="auto" w:fill="E1E0DE"/>
          </w:tcPr>
          <w:p>
            <w:pPr>
              <w:spacing w:after="0"/>
              <w:rPr>
                <w:sz w:val="19"/>
                <w:szCs w:val="19"/>
                <w:color w:val="auto"/>
              </w:rPr>
            </w:pP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5300" w:type="dxa"/>
            <w:vAlign w:val="bottom"/>
            <w:tcBorders>
              <w:bottom w:val="single" w:sz="8" w:color="auto"/>
            </w:tcBorders>
            <w:shd w:val="clear" w:color="auto" w:fill="E1E0DE"/>
          </w:tcPr>
          <w:p>
            <w:pPr>
              <w:ind w:left="240"/>
              <w:spacing w:after="0" w:line="215" w:lineRule="exact"/>
              <w:rPr>
                <w:sz w:val="20"/>
                <w:szCs w:val="20"/>
                <w:color w:val="auto"/>
              </w:rPr>
            </w:pPr>
            <w:r>
              <w:rPr>
                <w:rFonts w:ascii="Calibri" w:cs="Calibri" w:eastAsia="Calibri" w:hAnsi="Calibri"/>
                <w:sz w:val="18"/>
                <w:szCs w:val="18"/>
                <w:color w:val="auto"/>
              </w:rPr>
              <w:t>Decreased appette</w:t>
            </w:r>
          </w:p>
        </w:tc>
        <w:tc>
          <w:tcPr>
            <w:tcW w:w="1480" w:type="dxa"/>
            <w:vAlign w:val="bottom"/>
            <w:tcBorders>
              <w:bottom w:val="single" w:sz="8" w:color="auto"/>
            </w:tcBorders>
            <w:shd w:val="clear" w:color="auto" w:fill="E1E0DE"/>
          </w:tcPr>
          <w:p>
            <w:pPr>
              <w:jc w:val="right"/>
              <w:spacing w:after="0" w:line="215" w:lineRule="exact"/>
              <w:rPr>
                <w:sz w:val="20"/>
                <w:szCs w:val="20"/>
                <w:color w:val="auto"/>
              </w:rPr>
            </w:pPr>
            <w:r>
              <w:rPr>
                <w:rFonts w:ascii="Calibri" w:cs="Calibri" w:eastAsia="Calibri" w:hAnsi="Calibri"/>
                <w:sz w:val="18"/>
                <w:szCs w:val="18"/>
                <w:color w:val="auto"/>
              </w:rPr>
              <w:t>11</w:t>
            </w: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(32)</w:t>
            </w:r>
          </w:p>
        </w:tc>
        <w:tc>
          <w:tcPr>
            <w:tcW w:w="1500" w:type="dxa"/>
            <w:vAlign w:val="bottom"/>
            <w:tcBorders>
              <w:bottom w:val="single" w:sz="8" w:color="auto"/>
            </w:tcBorders>
            <w:shd w:val="clear" w:color="auto" w:fill="E1E0DE"/>
          </w:tcPr>
          <w:p>
            <w:pPr>
              <w:spacing w:after="0"/>
              <w:rPr>
                <w:sz w:val="18"/>
                <w:szCs w:val="18"/>
                <w:color w:val="auto"/>
              </w:rPr>
            </w:pP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w:t>
            </w:r>
          </w:p>
        </w:tc>
      </w:tr>
      <w:tr>
        <w:trPr>
          <w:trHeight w:val="229"/>
        </w:trPr>
        <w:tc>
          <w:tcPr>
            <w:tcW w:w="5300" w:type="dxa"/>
            <w:vAlign w:val="bottom"/>
            <w:tcBorders>
              <w:bottom w:val="single" w:sz="8" w:color="auto"/>
            </w:tcBorders>
            <w:shd w:val="clear" w:color="auto" w:fill="E1E0DE"/>
          </w:tcPr>
          <w:p>
            <w:pPr>
              <w:ind w:left="240"/>
              <w:spacing w:after="0" w:line="230" w:lineRule="exact"/>
              <w:rPr>
                <w:sz w:val="20"/>
                <w:szCs w:val="20"/>
                <w:color w:val="auto"/>
              </w:rPr>
            </w:pPr>
            <w:r>
              <w:rPr>
                <w:rFonts w:ascii="Calibri" w:cs="Calibri" w:eastAsia="Calibri" w:hAnsi="Calibri"/>
                <w:sz w:val="18"/>
                <w:szCs w:val="18"/>
                <w:color w:val="auto"/>
              </w:rPr>
              <w:t>Dermatts</w:t>
            </w:r>
            <w:r>
              <w:rPr>
                <w:rFonts w:ascii="Calibri" w:cs="Calibri" w:eastAsia="Calibri" w:hAnsi="Calibri"/>
                <w:sz w:val="23"/>
                <w:szCs w:val="23"/>
                <w:color w:val="auto"/>
                <w:vertAlign w:val="superscript"/>
              </w:rPr>
              <w:t>a</w:t>
            </w:r>
          </w:p>
        </w:tc>
        <w:tc>
          <w:tcPr>
            <w:tcW w:w="1480" w:type="dxa"/>
            <w:vAlign w:val="bottom"/>
            <w:tcBorders>
              <w:bottom w:val="single" w:sz="8" w:color="auto"/>
            </w:tcBorders>
            <w:shd w:val="clear" w:color="auto" w:fill="E1E0DE"/>
          </w:tcPr>
          <w:p>
            <w:pPr>
              <w:jc w:val="right"/>
              <w:spacing w:after="0" w:line="215" w:lineRule="exact"/>
              <w:rPr>
                <w:sz w:val="20"/>
                <w:szCs w:val="20"/>
                <w:color w:val="auto"/>
              </w:rPr>
            </w:pPr>
            <w:r>
              <w:rPr>
                <w:rFonts w:ascii="Calibri" w:cs="Calibri" w:eastAsia="Calibri" w:hAnsi="Calibri"/>
                <w:sz w:val="18"/>
                <w:szCs w:val="18"/>
                <w:color w:val="auto"/>
              </w:rPr>
              <w:t>10</w:t>
            </w: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(29)</w:t>
            </w:r>
          </w:p>
        </w:tc>
        <w:tc>
          <w:tcPr>
            <w:tcW w:w="1500" w:type="dxa"/>
            <w:vAlign w:val="bottom"/>
            <w:tcBorders>
              <w:bottom w:val="single" w:sz="8" w:color="auto"/>
            </w:tcBorders>
            <w:shd w:val="clear" w:color="auto" w:fill="E1E0DE"/>
          </w:tcPr>
          <w:p>
            <w:pPr>
              <w:spacing w:after="0"/>
              <w:rPr>
                <w:sz w:val="19"/>
                <w:szCs w:val="19"/>
                <w:color w:val="auto"/>
              </w:rPr>
            </w:pP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w:t>
            </w:r>
          </w:p>
        </w:tc>
      </w:tr>
      <w:tr>
        <w:trPr>
          <w:trHeight w:val="223"/>
        </w:trPr>
        <w:tc>
          <w:tcPr>
            <w:tcW w:w="5300" w:type="dxa"/>
            <w:vAlign w:val="bottom"/>
            <w:tcBorders>
              <w:bottom w:val="single" w:sz="8" w:color="auto"/>
            </w:tcBorders>
            <w:shd w:val="clear" w:color="auto" w:fill="E1E0DE"/>
          </w:tcPr>
          <w:p>
            <w:pPr>
              <w:ind w:left="240"/>
              <w:spacing w:after="0" w:line="223" w:lineRule="exact"/>
              <w:rPr>
                <w:sz w:val="20"/>
                <w:szCs w:val="20"/>
                <w:color w:val="auto"/>
              </w:rPr>
            </w:pPr>
            <w:r>
              <w:rPr>
                <w:rFonts w:ascii="Calibri" w:cs="Calibri" w:eastAsia="Calibri" w:hAnsi="Calibri"/>
                <w:sz w:val="18"/>
                <w:szCs w:val="18"/>
                <w:color w:val="auto"/>
              </w:rPr>
              <w:t>Dysgeusi</w:t>
            </w:r>
            <w:r>
              <w:rPr>
                <w:rFonts w:ascii="Calibri" w:cs="Calibri" w:eastAsia="Calibri" w:hAnsi="Calibri"/>
                <w:sz w:val="23"/>
                <w:szCs w:val="23"/>
                <w:color w:val="auto"/>
                <w:vertAlign w:val="superscript"/>
              </w:rPr>
              <w:t>a</w:t>
            </w:r>
          </w:p>
        </w:tc>
        <w:tc>
          <w:tcPr>
            <w:tcW w:w="1480" w:type="dxa"/>
            <w:vAlign w:val="bottom"/>
            <w:tcBorders>
              <w:bottom w:val="single" w:sz="8" w:color="auto"/>
            </w:tcBorders>
            <w:shd w:val="clear" w:color="auto" w:fill="E1E0DE"/>
          </w:tcPr>
          <w:p>
            <w:pPr>
              <w:jc w:val="right"/>
              <w:spacing w:after="0" w:line="215" w:lineRule="exact"/>
              <w:rPr>
                <w:sz w:val="20"/>
                <w:szCs w:val="20"/>
                <w:color w:val="auto"/>
              </w:rPr>
            </w:pPr>
            <w:r>
              <w:rPr>
                <w:rFonts w:ascii="Calibri" w:cs="Calibri" w:eastAsia="Calibri" w:hAnsi="Calibri"/>
                <w:sz w:val="18"/>
                <w:szCs w:val="18"/>
                <w:color w:val="auto"/>
              </w:rPr>
              <w:t>10</w:t>
            </w: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(29)</w:t>
            </w:r>
          </w:p>
        </w:tc>
        <w:tc>
          <w:tcPr>
            <w:tcW w:w="1500" w:type="dxa"/>
            <w:vAlign w:val="bottom"/>
            <w:tcBorders>
              <w:bottom w:val="single" w:sz="8" w:color="auto"/>
            </w:tcBorders>
            <w:shd w:val="clear" w:color="auto" w:fill="E1E0DE"/>
          </w:tcPr>
          <w:p>
            <w:pPr>
              <w:spacing w:after="0"/>
              <w:rPr>
                <w:sz w:val="19"/>
                <w:szCs w:val="19"/>
                <w:color w:val="auto"/>
              </w:rPr>
            </w:pP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5300" w:type="dxa"/>
            <w:vAlign w:val="bottom"/>
            <w:tcBorders>
              <w:bottom w:val="single" w:sz="8" w:color="auto"/>
            </w:tcBorders>
            <w:shd w:val="clear" w:color="auto" w:fill="E1E0DE"/>
          </w:tcPr>
          <w:p>
            <w:pPr>
              <w:ind w:left="240"/>
              <w:spacing w:after="0" w:line="215" w:lineRule="exact"/>
              <w:rPr>
                <w:sz w:val="20"/>
                <w:szCs w:val="20"/>
                <w:color w:val="auto"/>
              </w:rPr>
            </w:pPr>
            <w:r>
              <w:rPr>
                <w:rFonts w:ascii="Calibri" w:cs="Calibri" w:eastAsia="Calibri" w:hAnsi="Calibri"/>
                <w:sz w:val="18"/>
                <w:szCs w:val="18"/>
                <w:color w:val="auto"/>
              </w:rPr>
              <w:t>Headache</w:t>
            </w:r>
          </w:p>
        </w:tc>
        <w:tc>
          <w:tcPr>
            <w:tcW w:w="1480" w:type="dxa"/>
            <w:vAlign w:val="bottom"/>
            <w:tcBorders>
              <w:bottom w:val="single" w:sz="8" w:color="auto"/>
            </w:tcBorders>
            <w:shd w:val="clear" w:color="auto" w:fill="E1E0DE"/>
          </w:tcPr>
          <w:p>
            <w:pPr>
              <w:jc w:val="right"/>
              <w:spacing w:after="0" w:line="215" w:lineRule="exact"/>
              <w:rPr>
                <w:sz w:val="20"/>
                <w:szCs w:val="20"/>
                <w:color w:val="auto"/>
              </w:rPr>
            </w:pPr>
            <w:r>
              <w:rPr>
                <w:rFonts w:ascii="Calibri" w:cs="Calibri" w:eastAsia="Calibri" w:hAnsi="Calibri"/>
                <w:sz w:val="18"/>
                <w:szCs w:val="18"/>
                <w:color w:val="auto"/>
              </w:rPr>
              <w:t>10</w:t>
            </w: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(29)</w:t>
            </w:r>
          </w:p>
        </w:tc>
        <w:tc>
          <w:tcPr>
            <w:tcW w:w="1500" w:type="dxa"/>
            <w:vAlign w:val="bottom"/>
            <w:tcBorders>
              <w:bottom w:val="single" w:sz="8" w:color="auto"/>
            </w:tcBorders>
            <w:shd w:val="clear" w:color="auto" w:fill="E1E0DE"/>
          </w:tcPr>
          <w:p>
            <w:pPr>
              <w:spacing w:after="0"/>
              <w:rPr>
                <w:sz w:val="18"/>
                <w:szCs w:val="18"/>
                <w:color w:val="auto"/>
              </w:rPr>
            </w:pPr>
          </w:p>
        </w:tc>
        <w:tc>
          <w:tcPr>
            <w:tcW w:w="1480" w:type="dxa"/>
            <w:vAlign w:val="bottom"/>
            <w:tcBorders>
              <w:bottom w:val="single" w:sz="8" w:color="auto"/>
            </w:tcBorders>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w:t>
            </w:r>
          </w:p>
        </w:tc>
      </w:tr>
      <w:tr>
        <w:trPr>
          <w:trHeight w:val="229"/>
        </w:trPr>
        <w:tc>
          <w:tcPr>
            <w:tcW w:w="5300" w:type="dxa"/>
            <w:vAlign w:val="bottom"/>
            <w:shd w:val="clear" w:color="auto" w:fill="E1E0DE"/>
          </w:tcPr>
          <w:p>
            <w:pPr>
              <w:ind w:left="240"/>
              <w:spacing w:after="0" w:line="215" w:lineRule="exact"/>
              <w:rPr>
                <w:sz w:val="20"/>
                <w:szCs w:val="20"/>
                <w:color w:val="auto"/>
              </w:rPr>
            </w:pPr>
            <w:r>
              <w:rPr>
                <w:rFonts w:ascii="Calibri" w:cs="Calibri" w:eastAsia="Calibri" w:hAnsi="Calibri"/>
                <w:sz w:val="18"/>
                <w:szCs w:val="18"/>
                <w:color w:val="auto"/>
              </w:rPr>
              <w:t>Peripheral edema</w:t>
            </w:r>
          </w:p>
        </w:tc>
        <w:tc>
          <w:tcPr>
            <w:tcW w:w="1480" w:type="dxa"/>
            <w:vAlign w:val="bottom"/>
            <w:shd w:val="clear" w:color="auto" w:fill="E1E0DE"/>
          </w:tcPr>
          <w:p>
            <w:pPr>
              <w:jc w:val="right"/>
              <w:spacing w:after="0" w:line="215" w:lineRule="exact"/>
              <w:rPr>
                <w:sz w:val="20"/>
                <w:szCs w:val="20"/>
                <w:color w:val="auto"/>
              </w:rPr>
            </w:pPr>
            <w:r>
              <w:rPr>
                <w:rFonts w:ascii="Calibri" w:cs="Calibri" w:eastAsia="Calibri" w:hAnsi="Calibri"/>
                <w:sz w:val="18"/>
                <w:szCs w:val="18"/>
                <w:color w:val="auto"/>
              </w:rPr>
              <w:t>9</w:t>
            </w:r>
          </w:p>
        </w:tc>
        <w:tc>
          <w:tcPr>
            <w:tcW w:w="1480" w:type="dxa"/>
            <w:vAlign w:val="bottom"/>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(26)</w:t>
            </w:r>
          </w:p>
        </w:tc>
        <w:tc>
          <w:tcPr>
            <w:tcW w:w="1500" w:type="dxa"/>
            <w:vAlign w:val="bottom"/>
            <w:shd w:val="clear" w:color="auto" w:fill="E1E0DE"/>
          </w:tcPr>
          <w:p>
            <w:pPr>
              <w:spacing w:after="0"/>
              <w:rPr>
                <w:sz w:val="19"/>
                <w:szCs w:val="19"/>
                <w:color w:val="auto"/>
              </w:rPr>
            </w:pPr>
          </w:p>
        </w:tc>
        <w:tc>
          <w:tcPr>
            <w:tcW w:w="1480" w:type="dxa"/>
            <w:vAlign w:val="bottom"/>
            <w:shd w:val="clear" w:color="auto" w:fill="E1E0DE"/>
          </w:tcPr>
          <w:p>
            <w:pPr>
              <w:ind w:left="20"/>
              <w:spacing w:after="0" w:line="215" w:lineRule="exact"/>
              <w:rPr>
                <w:sz w:val="20"/>
                <w:szCs w:val="20"/>
                <w:color w:val="auto"/>
              </w:rPr>
            </w:pPr>
            <w:r>
              <w:rPr>
                <w:rFonts w:ascii="Calibri" w:cs="Calibri" w:eastAsia="Calibri" w:hAnsi="Calibri"/>
                <w:sz w:val="18"/>
                <w:szCs w:val="18"/>
                <w:color w:val="auto"/>
              </w:rPr>
              <w:t>—</w:t>
            </w:r>
          </w:p>
        </w:tc>
      </w:tr>
    </w:tbl>
    <w:p>
      <w:pPr>
        <w:spacing w:after="0" w:line="94"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“a” Indicates groupings of preferred terms defined by standardized queries in the Medical Dictionary for Regulatory Activities.</w:t>
      </w:r>
    </w:p>
    <w:p>
      <w:pPr>
        <w:spacing w:after="0" w:line="27" w:lineRule="exact"/>
        <w:rPr>
          <w:rFonts w:ascii="Times New Roman" w:cs="Times New Roman" w:eastAsia="Times New Roman" w:hAnsi="Times New Roman"/>
          <w:sz w:val="18"/>
          <w:szCs w:val="18"/>
          <w:color w:val="auto"/>
        </w:rPr>
      </w:pPr>
    </w:p>
    <w:p>
      <w:pPr>
        <w:ind w:left="1300" w:right="380" w:hanging="644"/>
        <w:spacing w:after="0" w:line="237"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Additional G3 TRAEs were 6% hypokalemia, and 3% each of AST/ALT, amylase, hypophosphatemia, insomnia, lipase, lymphocyte, skin infection, vomiting. No G4 TRAEs were reported.</w:t>
      </w:r>
    </w:p>
    <w:p>
      <w:pPr>
        <w:spacing w:after="0" w:line="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2017, we received Orphan Drug Designation (“ODD”) for FYARRO for the treatment of PEComa. In October 2018, the FDA granted Fast Track designation for FYARRO for the treatment of patients with advanced (metastatic or locally advanced) malignant PEComa. In December 2018, the FDA granted Breakthrough Therapy Designation (“BTD”) for FYARRO for the treatment of patients with advanced (metastatic or locally advanced) malignant PEComa. The FDA accepted the NDA in July 2021 and granted full approval on November 22, 2021. In January 2023, the FDA granted us orphan drug exclusivity ("ODE") for FYARRO for the treatment of patients with advanced malignant PEComa. As a result of ODE for FYARRO in the advanced malignant PEComa indication, the FDA may not approve any other application to market the same drug for the same indication for a period of seven years from NDA approval of FYARRO (November 22, 2028), except in limited circumstances, such as a showing of clinical superiority over the product with orphan exclusivity.</w:t>
      </w:r>
    </w:p>
    <w:p>
      <w:pPr>
        <w:spacing w:after="0" w:line="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TSC1 and TSC2 Alterations. </w:t>
      </w:r>
      <w:r>
        <w:rPr>
          <w:rFonts w:ascii="Times New Roman" w:cs="Times New Roman" w:eastAsia="Times New Roman" w:hAnsi="Times New Roman"/>
          <w:sz w:val="18"/>
          <w:szCs w:val="18"/>
          <w:color w:val="auto"/>
        </w:rPr>
        <w:t>An exploratory mutational analysis was conducted on patients treated with FYARRO in the AMPECT study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advanced malignant PEComa. In 25 patients with available mutational analysis,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xml:space="preserve"> alterations were found in 14 patients (56%). In this subset of patients with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xml:space="preserve"> alterations, the response rate was 64% (9/14) (Figure 10). In particular,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xml:space="preserve"> mutations were significantly associated with response (89% of patients) to FYARRO.</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Figure 8 – </w:t>
      </w:r>
      <w:r>
        <w:rPr>
          <w:rFonts w:ascii="Times New Roman" w:cs="Times New Roman" w:eastAsia="Times New Roman" w:hAnsi="Times New Roman"/>
          <w:sz w:val="18"/>
          <w:szCs w:val="18"/>
          <w:color w:val="auto"/>
        </w:rPr>
        <w:t>Spider plot demonstrating change in the sum of target tumor measurements over time, based on mutation status based on exploratory mutational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analysis conducted on patients treated with FYARRO in the AMPECT study</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51435</wp:posOffset>
            </wp:positionV>
            <wp:extent cx="5657850" cy="2837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Arrowheads indicate patients who were still on treatment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FYARRO in patients with prior mTOR inhibitors</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 post hoc electronic medical record review provided evidence of clinical benefit of </w:t>
      </w:r>
      <w:r>
        <w:rPr>
          <w:rFonts w:ascii="Times New Roman" w:cs="Times New Roman" w:eastAsia="Times New Roman" w:hAnsi="Times New Roman"/>
          <w:sz w:val="18"/>
          <w:szCs w:val="18"/>
          <w:i w:val="1"/>
          <w:iCs w:val="1"/>
          <w:color w:val="auto"/>
        </w:rPr>
        <w:t>nab</w:t>
      </w:r>
      <w:r>
        <w:rPr>
          <w:rFonts w:ascii="Times New Roman" w:cs="Times New Roman" w:eastAsia="Times New Roman" w:hAnsi="Times New Roman"/>
          <w:sz w:val="18"/>
          <w:szCs w:val="18"/>
          <w:color w:val="auto"/>
        </w:rPr>
        <w:t xml:space="preserve">-sirolimus in patients with malignant PEComa who had progressed or failed prior mTOR inhibitor treatment: 25% achieved a response (duration of response range: 1.3+–25.2+ months, 3 ongoing), and 50% had stable disease as best response as best response. Of patients with </w:t>
      </w:r>
      <w:r>
        <w:rPr>
          <w:rFonts w:ascii="Times New Roman" w:cs="Times New Roman" w:eastAsia="Times New Roman" w:hAnsi="Times New Roman"/>
          <w:sz w:val="18"/>
          <w:szCs w:val="18"/>
          <w:i w:val="1"/>
          <w:iCs w:val="1"/>
          <w:color w:val="auto"/>
        </w:rPr>
        <w:t>TSC1 or TSC2</w:t>
      </w:r>
      <w:r>
        <w:rPr>
          <w:rFonts w:ascii="Times New Roman" w:cs="Times New Roman" w:eastAsia="Times New Roman" w:hAnsi="Times New Roman"/>
          <w:sz w:val="18"/>
          <w:szCs w:val="18"/>
          <w:color w:val="auto"/>
        </w:rPr>
        <w:t xml:space="preserve"> inactivating alterations, 44% had a response.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strive to protect the proprietary technologies that we believe are important to our business, including pursuing and maintaining patent protection intended to cover formulations of FYARRO, its methods of use, related technologies, and other inventions that are important to our business. In addition to patent protection, we also rely on trade secrets to protect aspects of our business that are not amenable to, or that we do not consider appropriate for, patent protection, including our proprietary method of manufacturing FYARRO.</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commercial success depends, in part, upon our ability to obtain and maintain patent and other proprietary protection for FYARRO and other commercially important technologies, inventions, and know-how related to our business, defend and enforce our intellectual property rights, in particular, our patent rights, preserve the confidentiality of our trade secrets, and operate without infringing valid and enforceable intellectual property rights of others.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patent positions for biotechnology and pharmaceutical companies like us are generally uncertain and can involve complex legal, scientific, and factual issues. We cannot predict whether the patent applications we are currently pursuing will issue as patents in any particular jurisdiction or whether the claims of any issued patents will provide sufficient proprietary protection from competitors. In addition, the coverage claimed in a patent application can be significantly reduced before a patent is issued, and its scope can be reinterpreted and even challenged after issuance. As a result, we cannot guarantee that FYARRO will be protected or remain protectable by enforceable patents. Moreover, any patents that we hold may be challenged, circumvented, or invalidated by third parties. For more information regarding the risks related to our intellectual property please see “Risk Factors— Risks Related to Our Intellectual Property”.</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own or exclusively license twelve (12) </w:t>
      </w:r>
      <w:r>
        <w:rPr>
          <w:rFonts w:ascii="Times New Roman" w:cs="Times New Roman" w:eastAsia="Times New Roman" w:hAnsi="Times New Roman"/>
          <w:sz w:val="18"/>
          <w:szCs w:val="18"/>
          <w:color w:val="231F20"/>
        </w:rPr>
        <w:t>issued patents in the United States as well as issued patents in other countries. With respect to our licensed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patents, we have </w:t>
      </w:r>
      <w:r>
        <w:rPr>
          <w:rFonts w:ascii="Times New Roman" w:cs="Times New Roman" w:eastAsia="Times New Roman" w:hAnsi="Times New Roman"/>
          <w:sz w:val="18"/>
          <w:szCs w:val="18"/>
          <w:color w:val="000000"/>
        </w:rPr>
        <w:t>exclusive, sublicensable rights to certain patents and patent applications relating to FYARRO</w:t>
      </w:r>
      <w:r>
        <w:rPr>
          <w:rFonts w:ascii="Times New Roman" w:cs="Times New Roman" w:eastAsia="Times New Roman" w:hAnsi="Times New Roman"/>
          <w:sz w:val="18"/>
          <w:szCs w:val="18"/>
          <w:color w:val="231F20"/>
        </w:rPr>
        <w:t xml:space="preserve"> under our license agreement with BMS</w:t>
      </w:r>
      <w:r>
        <w:rPr>
          <w:rFonts w:ascii="Times New Roman" w:cs="Times New Roman" w:eastAsia="Times New Roman" w:hAnsi="Times New Roman"/>
          <w:sz w:val="18"/>
          <w:szCs w:val="18"/>
          <w:color w:val="000000"/>
        </w:rPr>
        <w:t>. 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of December 31, 2023, we licensed five (5) issued U.S. patents with composition of matter and method of use claims covering FYARRO. The first issued U.S. patent is expected to expire in 2029, and the other four are expected to expire in 2030, 2036, 2036 and 2040, respectively. In addition, we licensed related patents in Europe, Australia, North America, South America, and Asia that are expected to expire between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2026 and 2037. We also own or licensed many pending U.S. applications and related pending applications in Europe, Australia, North America, South America, Africa, and Asia.</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the term of a patent covering an FDA approved drug may, in certain cases, be eligible for a patent term extension under the Drug Price Competition and Patent Term Restoration Act of 1984, commonly referred to as the Hatch-Waxman Act, as compensation for the loss of patent term during FDA regulatory review process. The period of extension may be up to five years but cannot extend the remaining term of a patent beyond a total of 14 years from the date of product approval. Only one patent among those eligible for an extension and only those claims covering the approved drug, a method for using it, or a method for manufacturing it may be extended. Similar provisions are available in Europe and in certain other jurisdictions to extend the term of a patent that covers an approved drug. In January 2022, we filed an application for patent term extension based on the approval of FYARRO. We also intend to seek patent term extensions in any jurisdictions where they are available, however, there is no guarantee that the applicable authorities, including the FDA, will agree with our assessment of whether such extensions should be granted, and even if granted, the length of such extensions.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patent protection, we also rely on trade secret protection for our proprietary information that is not amenable to, or that we do not consider appropriate for, patent protection, including, for example, certain aspects of our manufacturing processes for the nanoparticle compositions. However, trade secrets can be difficult to protect. Although we take steps to protect our proprietary information, including restricting access to our premises and our confidential information, as well as entering into agreements with our employees, consultants, advisors, and potential collaborators, such individuals may breach such agreements and disclose our proprietary information including our trade secrets, and we may not be able to obtain adequate remedies for such breaches. In addition, third parties may independently develop the same or similar proprietary information or may otherwise gain access to our proprietary information. As a result, we may be unable to meaningfully protect our trade secrets and proprietary information. For more information regarding the risks related to our intellectual property please see “Risk Factors—Risks Related to Our Intellectual Property.”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built a cross-functional commercial organization and infrastructure to support the commercialization of FYARRO for advanced malignant PEComa in the United States and will continue to evaluate potential partners in markets outside the United States. We have an experienced oncology commercial team including marketing, commercial operations and sales personnel to promote FYARRO to physicians who are prescribers of treatments for advanced malignant PEComa. We have assembled a network of specialty distributors and a specialty pharmacy to distribute FYARRO across multiple sites of care in the United States. Additionally, the sales and marketing teams manage relationships with key accounts such as managed care organizations, group purchasing organizations, hospital systems, physician group networks, and government accounts.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future approvals of FYARRO in other oncology indications, if any, we intend to retain commercialization rights in the United States and leverage our commercial and marketing organization for FYARRO, with appropriate additions or modifications as necessitated by the specific indications pursued, assuming we obtain regulatory approval in the United States, and consider whether to build our own commercial and marketing organization in select markets outside the United States, or selectively establish partnerships. Accordingly, we will consider entering into relationships with strategic partners that enable the expansion of the ongoing clinical development and/or licenses for development and commercialization or distribution, while retaining significant value for our shareholders. These partnerships could focus on specific patient populations and their caregivers, on regional development, or on distribution and sales.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rapidly advancing technologies, intense competition and a strong emphasis on proprietary drugs. While we believe that our technology, development experience, and scientific knowledge provide us with competitive advantages, we face potential competition from many different sources, including major pharmaceutical, specialty pharmaceutical and biotechnology companies, academic institutions and governmental agencies, and public and private research institutions. Any drug candidates that we successfully develop and commercialize will compete with existing drugs and new drugs that may become available in the future. We compete in the segments of the pharmaceutical, biotechnology, and other related markets that address inhibition of kinases in cancer and other rare genetic diseases. There are other companies working to develop therapies in the field of kinase inhibition for cancer and other diseases. These companies include divisions of large pharmaceutical companies and biotechnology companies of various sizes.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could see a reduction or elimination in our commercial opportunity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FYARRO are likely to be its efficacy, safety, convenience, price, the effectiveness of companion diagnostics, the level of generic competition, and the availability of reimbursement from government and other third-party payors.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FYARRO in Advanced Malignant PEComa</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advanced malignant PEComa, other than FYARRO, there are no existing FDA approved therapies or drugs that have been studied in prospective clinical trials. Following FDA approval, the National Comprehensive Cancer Network (“NCCN”) Sarcoma panel included FYARRO as the only preferred regimen for treatment of malignant PEComa. FYARRO may face competition from available mTOR inhibitors including sirolimus, everolimus, and temsirolimus or other drug candidates in clinical trials. As of today, we are not aware of any other companies pursuing FDA approval for drugs to treat advanced malignant PEComa.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FYARRO in TSC1 and TSC2 Inactivating Alterations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xml:space="preserve"> inactivating alterations, there are no existing FDA approved drugs. If FYARRO receives marketing approval, it may face competition from available mTOR inhibitors including sirolimus, everolimus, and temsirolimus or other drug candidates in clinical trials that target the mTOR pathway, such as dual mTORC1/2 inhibitors or other next-generation mTOR inhibitors.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do not own or operate, and have no plans to establish, any manufacturing facilities. We currently rely on third parties to manufacture FYARRO for preclinical and clinical testing, as well as for our commercial supply of FYARRO.</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Amended and Restated License Agreement for FYARRO with BMS, dated November 2019, transferred the responsibility for manufacturing of FYARRO to us. FYARRO was previously manufactured for us by BMS through their third-party manufacturer, Fresenius-Kabi, USA. As a result of the amendment to the License Agreement, we now obtain FYARRO directly from Fresenius-Kabi, USA.</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date, we have obtained drug substance and drug product from third-party manufacturers to support pre-clinical and clinical testing of FYARRO. On January 13, 2022, we entered into a Negotiated Purchase Order Terms and Conditions for Clinical and Commercial Product, as amended effective as of August 1, 2022 (the “Fresenius Agreement”), with Fresenius Kabi, LLC (“Fresenius Kabi”) pursuant to which Fresenius Kabi will manufacture FYARRO for us, and we will purchase FYARRO as a finished drug product from Fresenius Kabi, on a purchase-order basis. The Fresenius Agreement is effective through March 31, 2024 (or such later date as may be agreed between the parties in writing) and we are currently negotiating an extension to such agreement. Under the Fresenius Agreement, we may purchase FYARRO for either clinical or commercial purposes for use in the United States and Canada. We have a fully validated commercial manufacturing process in place for FYARRO at the Fresenius Kabi's Grand Island Manufacturing facility. We are evaluating options with Fresenius Kabi to create redundant supply of FYARRO. In addition to manufacturing, Fresenius Kabi will perform specified labeling, packaging and serialization activities in respect of FYARRO for our benefit. The price of FYARRO is fixed, subject to the ability of Fresenius Kabi to increase pricing under specified circumstances. We have an obligation to purchase certain minimum quantities of FYARRO. Failure to purchase those minimum quantities will result in an additional payment from us to Fresenius Kabi.</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supply agreements in place for key raw materials used in the manufacture of FYARRO such as the drug substance sirolimus and for human albumin, which are key ingredients in the drug product. We do not currently have arrangements in place for redundant supply of the key raw materials used in the manufacture of FYARRO. We expect to continue to evaluate options to cost-effectively produce FYARRO at contract manufacturing facilities.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generally expect to rely on third parties for the manufacture or development of any companion diagnostics if we are required to do so in the future for FYARRO.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including federal, state, and local authorities, and in other countries, extensively regulate, among other things, the manufacturing, research and clinical development, marketing, labeling and packaging, storage, distribution, post-approval monitoring and reporting, advertising and promotion, and export and import of pharmaceutical and biological products, such as those we are developing. In addition, some government authorities regulate the pricing of such products. The process of obtaining regulatory approvals and the subsequent compliance with appropriate federal, state, local and foreign statutes and regulations require the expenditure of substantial time and financial resources.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Regulation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Generally, before a new drug can be marketed, considerable data must be generated which demonstrate the drug’s quality, safety, and efficacy. Such data must then be organized into a format specific for each regulatory authority, submitted for review and approved by the regulatory authority.</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untitled or warning letters, voluntary product recalls or withdrawals from the market, product seizures, total or partial suspension of production or distribution, injunctions, debarment, fines, refusals of government contracts, restitution, disgorgement, or civil or criminal penalties. Any agency or judicial enforcement action could have a material adverse effect on us.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U.S., the FDA regulates drugs under the Federal Food, Drug, and Cosmetic Act (“FDCA”) and its implementing regulations. Drugs are also subject to other federal, state, and local statutes and regulations. Drugs must be approved by the FDA through the NDA process before they may be legally marketed in the U.S. The process required by the FDA before a drug may be marketed in the U.S. generally involves the following:</w:t>
      </w:r>
    </w:p>
    <w:p>
      <w:pPr>
        <w:spacing w:after="0" w:line="68" w:lineRule="exact"/>
        <w:rPr>
          <w:sz w:val="20"/>
          <w:szCs w:val="20"/>
          <w:color w:val="auto"/>
        </w:rPr>
      </w:pPr>
    </w:p>
    <w:p>
      <w:pPr>
        <w:ind w:left="980" w:right="2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sometimes referred to as nonclinical, laboratory tests, animal studies, and formulation studies all performed in accordance with applicable regulations, including the FDA’s good laboratory practice (“GLP”) regulations;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(“IND”), which must become effective before human clinical trials may begin and must be updated annually and amended in accordance with the regulations;</w:t>
      </w:r>
    </w:p>
    <w:p>
      <w:pPr>
        <w:spacing w:after="0" w:line="53" w:lineRule="exact"/>
        <w:rPr>
          <w:rFonts w:ascii="Times New Roman" w:cs="Times New Roman" w:eastAsia="Times New Roman" w:hAnsi="Times New Roman"/>
          <w:sz w:val="18"/>
          <w:szCs w:val="18"/>
          <w:color w:val="auto"/>
        </w:rPr>
      </w:pPr>
    </w:p>
    <w:p>
      <w:pPr>
        <w:jc w:val="both"/>
        <w:ind w:left="980" w:right="20" w:hanging="486"/>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IND and other clinical trial-related regulations, sometimes referred to as good clinical practices (“GCPs”), to establish the safety and efficacy of the proposed drug for its proposed indication(s);</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for a new drug;</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file the NDA for review;</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active pharmaceutical ingredient (“API”) and finished drug product are produced to assess compliance with the FDA’s current good manufacturing practice requirements (“cGMP”);</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testing laboratories and clinical trial sites that generated the data in support of the NDA;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prior to any commercial marketing or sale of the drug in the U.S.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beginning a clinical trial with a product candidate in the United States, companies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new IND, or a separate submission to the existing IND must be made for each successive clinical trial conducted during product development and for any subsequent protocol amendments. Furthermore, an independent review board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and/or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7" w:lineRule="exact"/>
        <w:rPr>
          <w:sz w:val="20"/>
          <w:szCs w:val="20"/>
          <w:color w:val="auto"/>
        </w:rPr>
      </w:pPr>
    </w:p>
    <w:p>
      <w:pPr>
        <w:jc w:val="both"/>
        <w:ind w:left="980" w:hanging="486"/>
        <w:spacing w:after="0" w:line="258"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67"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pivotal study is a clinical study that adequately meets regulatory agency requirements for the evaluation of a drug candidate’s efficacy and safety such that it can serve as the primary basis for approval of the drug. Generally, pivotal studies are also Phase 3 studies but may be Phase 2 studies if the trial design provides a well-controlled and reliable assessment of clinical benefit, particularly in situations where there is an unmet medical need. 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and written IND safety reports must be submitted to the FDA and the investigators for serious and unexpected adverse reactions, any finding from other clinical studies, tests in laboratory animals, or in vitro testing that suggests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Phase 1, Phase 2, and Phase 3 trials may not be completed successfully within any specified period, if at all. The FDA, the IRB, or the clinical trial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also suspend or terminate a clinical trial based on evolving business objectives and/or competitive climate. Concurrent with clinical trials, companies usually complete additional animal studies and must also develop additional information about the chemistry and physical characteristics of the drug as well as finalize a process for manufacturing the drug in commercial quantities in accordance with cGMP requirements. The manufacturing process must be capable of consistently producing quality batches of the drug candidate and, among other things, cGMPs impose extensive procedural, substantive, and recordkeeping requirements to ensure and preserve the long-term stability and quality of the final drug product. Additionally, appropriate packaging must be selected and tested, and stability studies must be conducted to demonstrate that the drug candidate does not undergo unacceptable deterioration over its shelf life.</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manufacturer of an investigational drug for a serious disease or condition is required to make available, such as by posting on its website, its policy on evaluating and responding to requests for individual patient access to such investigational drug. This requirement applies on the earlier of the first initiation of a Phase 2 or Phase 3 trial of the investigational drug or, as applicable, 15 days after the drug receives a designation as a breakthrough therapy, fast track product, or regenerative advanced therapy.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NDA and the FDA Review Process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trial completion, trial data are analyzed to assess safety and efficacy. The results of preclinical studies and clinical trials are then submitted to the FDA as part of a NDA, along with proposed labeling for the drug and information about the manufacturing process and facilities that will be used to ensure drug quality, results of analytical testing conducted on the chemistry of the drug, and other relevant information. The NDA is a request for approval to market the drug and must contain sufficient evidence of drug product quality, safety and efficacy, which is demonstrated by extensive analytical, preclinical and clinical testing. Data may come from company-sponsored clinical trials intended to test the safety and efficacy of a use of a drug, or from a number of alternative sources, including studies initiated by investigators. To support marketing approval, the data submitted must be sufficient in quality and quantity to establish the safety and efficacy of the investigational drug product for a particular indication or indications to the satisfaction of the FDA. FDA approval of an NDA must be obtained before a drug may be offered for sale in the United States.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submission of an NDA is subject to the payment of substantial user fees; a waiver of such fees may be obtained under certain limited circumstances.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no user fees are assessed on NDAs for products designated as orphan drugs, unless the product also includes a non-orphan indication.</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to review and act on the submission. This review typically takes 12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does not always meet its PDUFA goal dates for standard and priority NDAs, and the review process is often significantly extended by FDA requests for additional information or clarification. In such event, the NDA must be resubmitted with the additional information. The resubmitted application is also subject to review before the FDA accepts it for filing.</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the NDA submission is accepted for filing, the FDA reviews the NDA to determine, among other things, whether the proposed drug is safe and effective for its intended use, and whether the drug is being manufactured in accordance with cGMP to assure and preserve the drug’s identity, strength, quality, and purity. The FDA may refer applications for novel drugs or drug candidates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In the course of its review, the FDA may re-analyze the clinical trial data, which could result in extensive discussions between the FDA and the applicant during the review process. The review and evaluation of an NDA by the FDA is extensive and time consuming and may take longer than originally planned to complete, and we may not receive a timely approval, if at all.</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Before approving an NDA, the FDA typically conducts a pre-approval inspection of the manufacturing facilities for the new drug to determine whether they comply with cGMPs. The FDA will not approve the drug unless it determines that the manufacturing processes and facilities are in compliance with cGMP requirements and adequate to assure consistent production of the drug within required specifications. In addition, before approving an NDA, the FDA may also audit data from clinical trials to ensure compliance with GCP requirements. After the FDA evaluates the application, manufacturing process, and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clinical trial(s), and/or other significant, expensive and time-consuming requirements related to clinical trials, preclinical studies, or manufacturing. If a Complete Response Letter is issued, the applicant may either resubmit the NDA, addressing all of the deficiencies identified in the letter, challenge the determination set forth in the letter by requesting a hearing, or withdraw the application. Even if such data and information are submitted, the FDA may ultimately decide that the NDA does not satisfy the criteria for approval. Data obtained from clinical trials are not always conclusive and the FDA may interpret data differently than we interpret the same data.</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is no assurance that the FDA will ultimately approve a drug product for marketing in the United States and we may encounter significant difficulties or costs during the review process. If a drug receives marketing approval, the approval may be significantly limited to specific diseases, dosages, or patient subgroups, or the indications for use may otherwise be limited, which could restrict the commercial value of the drug. Further, the FDA may require that certain contraindications, warnings, precautions, or adverse events be included in the drug labeling or may condition the approval of the NDA on other changes to the proposed labeling, development of adequate controls and specifications, or a commitment to conduct post-marketing testing or clinical trials, and surveillance to monitor the effects of approved drugs.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limitations on approval or marketing could restrict the commercial promotion, distribution, prescription, or dispensing of drugs. Drug approvals may be withdrawn for non-compliance with regulatory standards or if problems occur following initial marketing.</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2021, we received approval for the commercial sale of FYARRO from the FDA to treat patients with advanced (metastatic or locally advanced) PEComas. The NDA submission was based on results from our Phase 2 registrational study, AMPECT, in patients with advanced malignant PEComa, for whom there were no approved therapies in the U.S.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Expedited Development and Review Programs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priority review, accelerated approval, and breakthrough therapy designation, which are intended to expedite or simplify the process for the development and FDA review of drugs that are intended for the treatment of serious or life-threatening diseases or conditions and demonstrate the potential to address unmet medical needs. The purpose of these programs is to provide important new drugs to patients earlier than under standard FDA review procedures.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 product, the FDA may consider for review sections of the NDA on a</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post-marketing studies to verify and describe the predicted effect on irreversible morbidity or mortality, or other clinical endpoint and to submit promotional materials for preapproval and pre-use review, which could adversely impact the timing of the commercial launch of the product. In addition, the drug may be subject to accelerated withdrawal procedures. The Food and Drug Omnibus Reform Act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FDA may review new drug applications under the Oncology Center of Excellence Real-Time Oncology Review (“RTOR”), which, according to the FDA, aims to explore a more efficient review process to ensure that safe and effective treatments are available to patients as early as possible, while maintaining and improving review quality. Drugs considered for review under RTOR must be likely to demonstrate substantial improvements over available therapy, which may include drugs previously granted breakthrough therapy designation for the same or other indications, and must have straight-forward study designs and endpoints that can be easily interpreted. RTOR allows the FDA to review much of the data in an NDA earlier, before the applicant formally submits the complete application. This analysis of the pre-submission package gives the FDA and applicants an early opportunity to address data quality and potential review issues and allows the FDA to provide early feedback regarding the most effective way to analyze data to properly address key regulatory questions.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FYARRO as appropriate.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Post-Marketing Requirements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approval of a new drug, a pharmaceutical company and the approved drug are subject to continuing regulation by the FDA, including, among other things, establishment registration and drug listing, monitoring and recordkeeping activities, reporting to the applicable regulatory authorities of adverse experiences with the drug, providing the regulatory authorities with updated safety and efficacy information, drug sampling and distribution requirements, and complying with promotion and advertising requirements, which include, among others, standards for direct-to-consumer advertising,</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restrictions on promoting drugs for uses or in patient populations that are not described in the drug’s approved labeling, limitations on industry-sponsored scientific and educational activities, and requirements for promotional activities involving the internet.</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particular, 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 Modifications or enhancements to the drug or its labeling or changes of the site or process of manufacture are often subject to the approval of the FDA and other regulators, which may or may not be received or may result in a lengthy review process.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Prescription drug advertising is subject to federal, state, and foreign regulations. In the U.S., the FDA regulates prescription drug promotion, including direct-to-consumer advertising. Prescription drug promotional materials must be submitted to the FDA in conjunction with their first use. Any distribution of prescription drugs and pharmaceutical samples must comply with the U.S. Prescription Drug Marketing Act (“PDMA”), a part of the FDCA. The Drug Supply Chain Security Act (“DSCSA”), enacted in 2013, aims to build an electronic system to identify and trace certain prescription drugs distributed in the U.S. The DSCSA mandates phased-in and resource-intensive obligations for pharmaceutical manufacturers, wholesale distributors, and dispensers over a 10-year period that is expected to culminate in November 2023. The law’s requirements include the quarantine and prompt investigation of a suspect product to determine if it is illegitimate and notifying trading partners and the FDA of any illegitimate product. Drug manufacturers and their collaborators are also required to place a unique product identifier on prescription drug packages. This identifier consists of the National Drug Code, serial number, lot number, and expiration date, in the form of a 2-dimensional data matrix barcode that can be read by humans and machines.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U.S., once a drug is approved, its manufacture is subject to comprehensive and continuing regulation by the FDA. FDA regulations require that drugs be manufactured in specific facilities per the NDA approval and in accordance with cGMP. We rely, and expect to continue to rely, on third parties for the production of clinical and commercial quantities of its drugs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drugs manufactured, processed, or tested by them. Discovery of problems with a drug after approval may result in restrictions on a drug, manufacturer, or holder of an approved NDA, including, among other things, recall or withdrawal of the drug from the market, and may require substantial resources to correct.</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also may require post-approval testing, sometimes referred to as Phase 4 testing, risk minimization action plans, and post- marketing surveillance to monitor the effects of an approved drug or place conditions on an approval that could restrict the distribution or use of the drug. Discovery of previously unknown problems with a drug or the failure to comply with applicable FDA requirements can have negative consequences, including adverse publicity, judicial, or administrative enforcement actions. Other potential consequences include, among other things:</w:t>
      </w:r>
    </w:p>
    <w:p>
      <w:pPr>
        <w:spacing w:after="0" w:line="72" w:lineRule="exact"/>
        <w:rPr>
          <w:sz w:val="20"/>
          <w:szCs w:val="20"/>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post-approval or Phase 4 clinical studies, if applicable;</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Newly discovered or developed safety or effectiveness data may require changes to a drug’s approved labeling, including the addition of new warnings and contraindications, and also may require the implementation of other risk management measures, including a REMS or the conduct of post-marketing studies to assess a newly discovered safety issue. Also, new government requirements, including those resulting from new legislation, may be established, or the FDA’s policies may change, which could delay or prevent regulatory approval of our drugs under development.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condition of the approval of the NDA for FYARRO, we are required to conduct certain post-marketing requirements (“PMR”) and post-marketing commitments (“PMC”), which are ongoing. If we fail to comply with the PMR and PMC, the FDA may take enforcement actions, which may include, among other things, the issuance of a Warning Letter and assessing civil monetary penalties. The product may also be deemed misbranded.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may grant orphan drug designation to drugs intended to treat a rare disease or condition that affects fewer than 200,000 individuals in the United States, or if it affects more than 200,000 individuals in the United States, there is no reasonable expectation that the cost of developing and marketing the drug for this type of disease or condition will be recovered from sales in the United States. Orphan drug designation must be requested before submitting an application for marketing approval. Orphan drug designation does not convey any advantage in, or shorten the duration of, the regulatory review and approval process. After the grant of an orphan drug designation, FDA may revoke the designation if FDA finds that the request for designation contained an untrue statement of material fact, omitted required material information, or if FDA subsequently finds that the drug had not been eligible for the orphan drug designation at the time of the submission of the request.</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United States, orphan drug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drug exclusivity ("ODE"), which means the FDA may not approve any other application to market the same drug for the same indication for a period of seven years, except in limited circumstances, such as a showing of clinical superiority over the product with orphan exclusivity. In January 2023, the FDA granted us ODE for FYARRO for the treatment of patients with advanced malignant PEComa.</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xml:space="preserve">, 14 F.4th 1299 (11th Cir. 2021), the court disagreed with the FDA’s longstanding position that the ODE only applies to the approved use or indication within an eligible disease. This decision created uncertainty in the application of the ODE. On January 24, 2023, the FDA published a notice in the Federal Register to clarify that while the agency complies with the court’s order in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FDA intends to continue to apply its longstanding interpretation of the regulations to matters outside of the scope of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order – that is, the agency will continue tying the scope of ODE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ODE.</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European Union, the European Commission, after receiving the opinion of the European Medicines Agency’s (“EMA”) Committee for Orphan Medicinal Products (“COMP”), grants orphan drug designation to also promote the development of products. The relevant European legislation provides that a product can be designated as an orphan drug by the European Commission if its sponsor can establish: that the product is intended for the diagnosis, prevention, or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treatment of (1) a life-threatening or chronically debilitating condition affecting not more than 5 in 10,000 persons in the European Union when the application is made, or (2) a life-threatening, seriously debilitating, or serious and chronic condition in the European Union and that without incentives it is unlikely that the marketing of the product in the European Union would generate sufficient return to justify the necessary investment. For either of these conditions, the applicant must also demonstrate that there exists no satisfactory method of diagnosis, prevention, or treatment of the condition in question that has been authorized in the European Union or, if such method exists, the product has to be of significant benefit compared to products available for the condition. Additionally,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biological product.</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European Union, orphan drug designation also entitles a party to financial incentives such as reduction of fees or fee waivers and ten years of market exclusivity is granted following drug or biological product approval. During this market exclusivity period, neither the EMA nor the European Commission or the 27 member states that comprise the European Union can accept an application or grant a marketing authorization for the same therapeutic indication in respect of a “similar medicinal product.” A “similar medicinal product” is defined as a medicinal product containing a similar active substance or substances as contained in an authorized orphan medicinal product, and which is intended for the same therapeutic indication. This period may be reduced to six years if, after five years, the orphan drug designation criteria are no longer met, including where it is shown that the product is sufficiently profitable not to justify maintenance of market exclusivity.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Marketing Exclusivity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our drug candidate, some of our United States patents may be eligible for limited patent term extension under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The U.S. Patent and Trademark Office (“USPTO”), in consultation with the FDA, reviews and approves the application for any patent term extension or restoration.</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Marketing exclusivity provisions under the FDCA can also delay the submission or the approval of certain marketing applications for competing products. The FDCA provides a five-year period of non-patent marketing exclusivity within the U.S.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drug based on the same active moiety, regardless of whether the drug is intended for the same indication as the original innovator drug or for another indication. However, an application may be submitted after four years if it contains a certification of patent invalidity or non-infringement to one of the patents listed with the FDA by the innovator NDA holder.</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applications for drugs containing the active agent for the original indication or condition of use.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five-year and three-year exclusivities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ODE, as described above, may offer a seven-year period of marketing exclusivity, except in certain circumstances. Pediatric exclusivity is another type of regulatory market exclusivity in the U.S.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a pediatric trial.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Regulatory Matters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Manufacturing, sales, promotion, and other activities following drug approval are also subject to regulation by numerous regulatory authorities in addition to the FDA, including, in the United States, the Centers for Medicare &amp; Medicaid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Services (“CMS”), other divisions of the U.S. Department of Health and Human Services (“HHS”), the Drug Enforcement Administration for controlled substances,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Patient Protection and Affordable Care Act as amended by the Health Care and Education Reconciliation Act of 2010 (the “ACA”). If drugs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Drugs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numerous foreign, federal, state, and local environmental, health, and safety laws and regulations, including those governing laboratory procedures and the handling, use, storage, treatment, and disposal of hazardous materials and wastes. In addition, our leasing and operation of real property may subject us to liability pursuant to certain U.S. environmental laws and regulations, under which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distribution of pharmaceutical drugs is subject to additional requirements and regulations, including extensive record-keeping, licensing, storage, and security requirements intended to prevent the unauthorized sale of pharmaceutical drugs. The failure to comply with regulatory requirements subjects firms to possible legal or regulatory action. Depending on the circumstances, failure to meet applicable regulatory requirements can result in criminal prosecution, fines, or other penalties, injunctions, voluntary recall or seizure of drugs,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our drugs will depend, in part, on the extent to which our drugs will be covered by third-party payors, such as government health programs, commercial insurers, and managed healthcare organizations, as well as the level of reimbursement such third-party payors provide for our products. Patients and providers are unlikely to use our products unless coverage is provided and reimbursement is adequate to cover a significant portion of the cost of our products in which our products are used. These third-party payors are increasingly reducing reimbursements for medical drugs and services.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U.S., no uniform policy of coverage and reimbursement for drugs or biological products exists, and one payor’s determination to provide coverage and adequate reimbursement for a product does not assure that other payors will make a similar determination. In the U.S., the principal decisions about reimbursement for new medicines are typically made by the CMS, an agency within the HHS, as the CMS decides whether and to what extent a new medicine will be covered and reimbursed under Medicare. Private third-party payors tend to follow Medicare coverage and reimbursement limitations to a substantial degree, but also have their own methods and approval process apart from Medicare determinations. Accordingly, decisions regarding the extent of coverage and amount of reimbursement to be provided for FYARRO will be made on a payor-by-payor basis. As a result, the coverage determination process may be a time-consuming and costly process that will require us to provide scientific and clinical support for the use of our products to each payor separately,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of price controls and cost-containment measures, and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adoption of more restrictive policies in jurisdictions with existing controls and measures, could further limit our net revenue and results. Decreases in third-party reimbursement for FYARRO or a decision by a third-party payor to not cover FYARRO could reduce physician usage of such drug and have a material adverse effect on our sales, results of operations and financial condition.</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Medicaid Drug Rebate Program (“MDRP”) requires pharmaceutical manufacturers to enter into and have in effect a national rebate agreement with the Secretary of the HHS as a condition for states to receive federal matching funds for the manufacturer’s outpatient drugs furnished to Medicaid patients. The ACA made several changes to the MDRP, including increasing pharmaceutical manufacturers’ rebate liability by raising the minimum basic Medicaid rebate percentage on most branded prescription drugs of average manufacturer price (“AMP”) and adding a new rebate calculation for “line extensions” (i.e., new formulations, such as extended release formulations) of solid oral dosage forms of branded products, creating a new methodology by which rebates owed are calculated for drugs that are inhaled, infused, instilled, implanted, or injected,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Pricing and rebate programs must also comply with the Medicaid rebate requirements of the U.S. Omnibus Budget Reconciliation Act of 1990. The American Rescue Plan Act of 2021 eliminated the statutory cap on Medicaid Drug Rebate Program rebates that manufactures pay to state Medicaid programs. Elimination of this cap may require pharmaceutical manufacturers to pay more in rebates than it receives on the sale of products, which could have a material impact on our business.</w:t>
      </w:r>
    </w:p>
    <w:p>
      <w:pPr>
        <w:spacing w:after="0" w:line="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Parts A and B, Part D coverage is not standardized. Part D prescription drug plan sponsors are not required to pay for all covered Part D drugs, and each drug plan can develop its own drug formulary that identifies which drugs it will cover and at what tier or level. However,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These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may obtain marketing approval. However, any negotiated prices for our drugs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of 2010, the ACA expanded the types of entities eligible to receive discounted 340B pricing, although, under the current state of the law, with the exception of children’s hospitals, these newly eligible entities will not be eligible to receive discounted 340B pricing on orphan drugs. In addition, as 340B drug pricing is determined based on AMP and Medicaid rebate data, the revisions to the Medicaid rebate formula and AMP definition described above could cause the required 340B discount to increase. In addition, legislation may be introduced that, if passed, would further expand the 340B program to additional covered entities or would require participating manufacturers to agree to provide 340B discounted pricing on drugs used in an inpatient setting.</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American Recovery and Reinvestment Act of 2009 provides funding for the federal government to compare the effectiveness of different treatments for the same illness. The plan for the research was published in 2012 by the HHS, the Agency for Healthcare Research and Quality and the National Institutes for Health, and periodic reports on the status of the research and related expenditures are made to Congress. Although the results of the comparative effectiveness studies are not intended to mandate coverage policies for public or private payors, it is not clear what effect, if any, the research will have on the sales of FYARRO, if any such drug or the condition that such drug is intended to treat are the subject of a trial. It is also possible that comparative effectiveness research demonstrating benefits in a competitor’s drug could adversely affect the sales of our drug candidate. If third-party payors do not consider our drugs to be cost-effective compared to other available therapies, they may not cover our drugs as a benefit under their plans or, if they do, the level of payment may not be sufficient to allow us to sell our drugs on a profitable basis.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recent years, additional laws have resulted in direct or indirect reimbursement reductions for certain Medicare providers. For example, the Budget Control Act of 2011, among other things, created measures for spending reductions by Congress. These changes included aggregate reductions to Medicare payments to providers of up to 2% per fiscal year, which went into effect in April 2013 and will remain in effect through 2032, unless additional congressional action is taken. The American Taxpayer Relief Act of 2012, among other things, reduced Medicare payments to several providers, and increased the statute of limitations period for the government to recover overpayments to providers from three to five years. These laws, and future state and federal healthcare reform measures, as discussed further below, may be adopted in the future, any of which may result in additional reductions in Medicare and other healthcare funding and otherwise affect the prices we may obtain for any indication of FYARRO for which it may obtain regulatory approval or the frequency with which any such product candidate is prescribed or used.</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noted above, the marketability of any products for which we receive regulatory approval for commercial sale may suffer if the government and other third-party payors fail to provide adequate coverage and reimbursement. We expect that an increasing emphasis on cost containment measures in the U.S.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drugs for which their national health insurance systems provide reimbursement and to control the prices of medicinal drugs for human use. A member state may approve a specific price for the medicinal drug or it may instead adopt a system of direct or indirect controls on the profitability of the company placing the medicinal drug on the market. There can be no assurance that any country that has price controls or reimbursement limitations for pharmaceutical drugs will allow favorable reimbursement and pricing arrangements for any of our drugs. Historically, drugs launched in the European Union do not follow price structures of the U.S. and generally tend to be significantly lower.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Healthcare Reform</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ACA has had a significant impact on the healthcare industry. The ACA expanded coverage for the uninsured while at the same time containing overall healthcare costs. With regard to pharmaceutical products, the ACA, among other things, addressed a new methodology by which rebates owed by manufacturers under the MDRP are calculated for drugs that are inhaled, infused, instilled, implanted, or injected, increased the minimum Medicaid rebates owed by manufacturers under the MDRP and extended the rebate program to individuals enrolled in Medicaid managed care organizations, established annual fees and taxes on manufacturers of certain branded prescription drugs, and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The American Rescue Plan Act of 2021 eliminated the statutory cap on Medicaid Drug Rebate Program rebates that manufacturers pay to state Medicaid programs. Elimination of this cap may require pharmaceutical manufacturers to pay more in rebates than they receive on the sale of products, which could have a material impact on our business.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ACA requires pharmaceutical manufacturers of branded prescription drugs to pay a branded prescription drug fee to the federal government. Each such manufacturer is required to pay a prorated share of the branded prescription drug fee based on the dollar value of its branded prescription drug sales to certain federal programs identified in the law. The ACA also expanded the 340B program to include additional types of covered entities. Federal law requires that any company that participates in the Medicaid rebate program also participate in the 340B program in order for federal funds to be available for the manufacturer’s drugs under Medicaid. The 340B program requires participating manufacturers to agree to charge statutorily defined covered entities no more than the 340B “ceiling price” for the manufacturer’s covered outpatient drugs. In addition, in order to be eligible to have its products paid for with federal funds under the Medicaid programs and purchased by certain federal grantees and agencies, a manufacturer also must participate in the Department of Veterans Affairs Federal Supply Schedule (“FSS”) pricing program, established by Section 603 of the Veterans Health Care Act of 1992. Under this program, the manufacturer is obligated to make products available for procurement on an FSS contract and charge a price to four federal agencies—the Department of Veterans Affairs, the Department of Defense, the Public Health Service, and the Coast Guard—that is at least 24% less than the Non-Federal Average Manufacturing Price for the prior fiscal year.</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the enactment of the ACA, there have been judicial and Congressional challenges to certain aspects of the ACA. In June 2021, the Supreme Court held that Texas and other challengers had no legal standing to challenge the ACA, upholding the ACA. In January 2021, President Biden also issued an executive order to initiate a special enrollment period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allow people to obtain health insurance coverage through the ACA marketplace and instructs certain governmental agencies to review and reconsider their existing policies and rules that limit access to healthcare, among others. We cannot predict how future litigation, healthcare reform measures of the Biden administration, or what other regulations will ultimately be implemented at the federal or state level, or the effect of any future legislation or regulation may have on our business.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for example, in September 2018, CMS announced that it will allow Medicare Advantage Plans the option to use step therapy for Part B drugs beginning January 1, 2019. Additionally, CMS issued a final rule, effective on July 9, 2019, that requires direct-to-consumer television advertisements of prescription drugs and biological products, for which payment is available through or under Medicare or Medicaid, to include in the advertisement the Wholesale Acquisition Cost, or list price, of that drug or biological product if it is equal to or greater than $35 for a monthly supply or usual course of treatment. Prescription drugs and biological products that are in violation of these requirements will be included on a public list.</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July 2021, the Biden administration released an executive order, “Promoting Competition in the American Economy,” with multiple provisions aimed at increasing competition for prescription drugs.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There are important exemptions to Maximum Fair Price including medications that are orphan drug designated and approved, for only one rare disease, and drugs with low Medicare spend as defined by CMS. In an effort to curb Medicare patients’ out-of-pocket costs for prescription drugs, the Part D redesign legislation requires manufacturers to contribute to the catastrophic coverage phase for Part D Drugs, as discounts through a manufacturer discount program. Various industry stakeholders have initiated lawsuits against the federal government asserting that the price negotiation provisions of the Inflation Reduction Act are unconstitutional. The impact of these judicial challenges as well as future actions and agency rules implemented by the government on us and the pharmaceutical industry as a whole is unclear. Furthermore,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any of the product candidates for which we receive approval.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FDA recently authorized the state of Florida to import certain prescription drugs from Canada for a period of two years to help reduce drug costs, provided that Florida’s Agency for Health Care Administration meets the requirements set forth by the FDA. Other states may follow Florida.</w:t>
      </w:r>
    </w:p>
    <w:p>
      <w:pPr>
        <w:spacing w:after="0" w:line="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additional federal and state healthcare reform measures will be adopted in the future, any of which could limit the amounts that federal and state governments will pay for healthcare drugs and services, and in turn could significantly reduce the projected value of certain development projects and reduce our profitability and may increase our regulatory burdens and operating costs.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our product and any product candidates that obtain regulatory approval and are marketed in the United States, our arrangements, directly or indirectly, with third-party payors, healthcare providers, and customers may expose us to broadly applicable fraud and abuse and other healthcare laws and regulations that may constrain the business or financial</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arrangements and relationships through which we market, sell, and distribute any products for which we obtain marketing approval. Our employees, consultants, and commercial partners may engage in misconduct or other improper activities, including non-compliance with regulatory standards and requirements. Federal and state healthcare laws and regulations that may affect our ability to conduct business, include, without limitation:</w:t>
      </w:r>
    </w:p>
    <w:p>
      <w:pPr>
        <w:spacing w:after="0" w:line="68" w:lineRule="exact"/>
        <w:rPr>
          <w:sz w:val="20"/>
          <w:szCs w:val="20"/>
          <w:color w:val="auto"/>
        </w:rPr>
      </w:pPr>
    </w:p>
    <w:p>
      <w:pPr>
        <w:ind w:left="980" w:hanging="486"/>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Department of Justice, and other government authority prohibitions against the advertisement, promotion and labeling of our products for off-label uses, or uses outside the specific indications approved by the FDA;</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broadly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Medicare or Medicaid. A person or entity does not need to have actual knowledge of the statute or specific intent to violate it to have committed a violation;</w:t>
      </w:r>
    </w:p>
    <w:p>
      <w:pPr>
        <w:spacing w:after="0" w:line="75" w:lineRule="exact"/>
        <w:rPr>
          <w:rFonts w:ascii="Times New Roman" w:cs="Times New Roman" w:eastAsia="Times New Roman" w:hAnsi="Times New Roman"/>
          <w:sz w:val="18"/>
          <w:szCs w:val="18"/>
          <w:color w:val="auto"/>
        </w:rPr>
      </w:pPr>
    </w:p>
    <w:p>
      <w:pPr>
        <w:jc w:val="both"/>
        <w:ind w:left="980" w:hanging="486"/>
        <w:spacing w:after="0" w:line="254"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prohibits, among other things, individuals or entities from knowingly presenting, or causing to be presented, false claims, or knowingly using false statements, to obtain payment from the federal government. These laws have been interpreted to apply to arrangements between manufacturers, on the one hand, and prescribers, purchasers, and other healthcare-related professionals on the other. They can apply to manufacturers who provide inaccurate information on coverage, coding, and reimbursement of their products to persons who bill third-party payers. In addition, manufacturers have been prosecuted or faced civil and criminal liability under these laws for a variety of alleged promotional and marketing activities, including violations of the federal Anti-Kickback Statute and engaging in off-label promotion that caused claims to be submitted for non-covered off-label uses. Private individuals can bring False Claims Act “qui tam” actions, on behalf of the government and such individuals, commonly known as “whistleblowers,” may share in amounts paid by the entity to the government in fines or settlement;</w:t>
      </w:r>
    </w:p>
    <w:p>
      <w:pPr>
        <w:spacing w:after="0" w:line="80"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as amended, which among other things, also created criminal liability for knowingly and willfully falsifying or concealing a material fact or making a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7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laws that prohibit executing a scheme to defraud any healthcare benefit program or making, or causing to be made, false statements relating to healthcare matters;</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the U.K. Bribery Act of 2010, and other local anti-corruption laws that apply to our international activities;</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55"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(“Open Payments”), and implementing regulations, which require applicable group purchasing organizations and manufacturers of covered drugs, medical devices, biologicals and medical supplies for which payment is available under Medicare, Medicaid, or the Children’s Health Insurance Program to report annually to the CMS information related to certain payments and other transfers of value made to covered recipients, including licensed physicians (defined to include doctors, dentists, optometrists, podiatrists and chiropractors), certain non-physician healthcare professionals (such as physician assistants and nurse practitioners, among others), and teaching hospitals, and information regarding ownership and investment interests held by physicians and their immediate family members;</w:t>
      </w:r>
    </w:p>
    <w:p>
      <w:pPr>
        <w:spacing w:after="0" w:line="80" w:lineRule="exact"/>
        <w:rPr>
          <w:rFonts w:ascii="Times New Roman" w:cs="Times New Roman" w:eastAsia="Times New Roman" w:hAnsi="Times New Roman"/>
          <w:sz w:val="18"/>
          <w:szCs w:val="18"/>
          <w:color w:val="auto"/>
        </w:rPr>
      </w:pPr>
    </w:p>
    <w:p>
      <w:pPr>
        <w:jc w:val="both"/>
        <w:ind w:left="980" w:hanging="486"/>
        <w:spacing w:after="0" w:line="255"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 equivalents of each of the above federal laws, such as anti-kickback and false claims laws which may apply to items or services reimbursed by any third-party payor, including commercial insurers or patients; state laws that require pharmaceutical manufacturers to comply with the industry’s voluntary compliance guidelines and the applicable compliance guidance promulgated by the federal government or otherwise restrict payments that may be made to healthcare providers and other potential referral sources; state laws that require manufacturers to report information related to payments and other transfers of value to physicians and other healthcare providers or marketing expenditures; consumer protection and unfair competition laws, which broadly regulate marketplace activities and activities that potentially harm customers; foreign and state laws, including the EU General Data Protection Regulation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(“GDPR”) and a version of the GDPR adopted in the United Kingdom (“UK GDPR”), and state laws and regulations, including general legislation such as the California Consumer Protection Act (“CCPA”), and sector- or subject matter-specific laws and regulations, governing the privacy and security of health information in certain circumstances, many of which differ from each other in significant ways and may not have the same effect, thus complicating compliance efforts; and state laws related to insurance fraud in the case of claims involving private insurers.</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scope and enforcement of each of these laws are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may not comply with current or future statutes, regulations, or case law involving applicable fraud and abuse or other healthcare laws and regulations, and we could also be subject to claims, demands, and litigation initiated by private individuals or entities related to these matters. If our operations, including those of our contractors or agents who conduct business for or on our behalf, are alleged or found to be in violation of any of these laws or any other related governmental regulations that may apply to us, we may be subject to significant civil, criminal, and administrative penalties, damages, fines, imprisonment, disgorgement, exclusion of drugs from government funded healthcare programs, such as Medicare and Medicaid, reputational harm, additional oversight, and reporting obligations if we becomes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alleged or found to be not in compliance with applicable laws, they may be subject to similar actions, penalties, and sanctions, which may also adversely affect our business. Ensuring business arrangements comply with applicable healthcare laws, as well as responding to possible investigations by government authorities, can be time- and resource-consuming and can divert a company’s attention from the business.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Protection Laws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laws and regulations covering data privacy and the protection of health-related and other personal information. Federal, state, and foreign laws also govern the privacy and security of health information in some circumstances. For example, 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and their covered subcontractors, including mandatory contractual terms, with respect to safeguarding the privacy, security and transmission of individually identifiable health information, State data privacy and security laws may differ from each other in significant ways and often are not pre-empted by HIPAA, which may complicate compliance efforts in states or jurisdictions we conduct business. For example, in 2020, California enacted the CCPA, which created new individual privacy rights for California consumers, as defined in the law, and placed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The CCPA went into effect on January 1, 2020 and became enforceable by the California Attorney General on July 1, 2020. It was further amended and supplemented by the California Privacy Rights Act, which became effective on January 1, 2023, and imposes additional privacy and security obligations on companies doing business in California. While there is currently an exception in the CCPA for protected health information that is subject to HIPAA and clinical trial regulations, as currently written, numerous other states have enacted legislation similar to the CCPA, and several states have enacted other privacy and security legislation,</w:t>
      </w:r>
    </w:p>
    <w:p>
      <w:pPr>
        <w:spacing w:after="0" w:line="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as Washington’s My Health, My Data Act, which includes a private right of action. The CCPA and such other new and evolving legislation may impact our business activities significantly, and these and other applicable state and foreign privacy laws, as well as uncertain changes in future regulation and legislation, could impact our business strategies, increase our potential liability, increase our compliance costs, and adversely affect our business.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collection and use of personal health data in the European Union are governed by the GDPR and applicable member state legislation. The GDPR and related member state legislation impose several requirements relating to consent of the individuals to whom the personal data relates, information provided to the individuals, and the security and confidentiality of personal data. Legislation similar to the GDPR, the UK GDPR, also has been adopted in the United Kingdom. The GDPR and UK GDPR also impose strict rules on the transfer of personal data out of the European Union and United Kingdom, respectively, to the U.S. Both the GDPR and UK GDPR provide for substantial fines for noncompliance. Failure to comply with the requirements of the GDPR, UK GDPR, or data protection laws of European Union member states may result in fines and other administrative penalties. The GDPR and UK GDPR may impose additional responsibility and liability in relation to personal data that we process and we may be required to put in place additional mechanisms in an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effort to achieve and maintain compliance with their obligations. This may be onerous and adversely affect our business, financial condition, results of operations, and prospects.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Regulatory Matters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Drug Development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Europe, any future drug products for which we receive marketing authorization will also be subject to extensive regulatory requirements. As in the United States, medicinal products can only be marketed if a marketing authorization from the competent regulatory agencies has been obtained. Similar to the United States, the various phases of preclinical and clinical research in Europe are subject to significant regulatory controls. Although the European Union Clinical Trials Directive 2001/20/EC (“Clinical Trials Directive”) has sought to harmonize the EU clinical trials regulatory framework, setting out common rules for the control and authorization of clinical trials in the EU, the EU member states have transposed and applied the provisions of the Clinical Trials Directive differently. This has led to significant variations in the member state regimes. Under the current regime, before a clinical trial can be initiated, it must be approved in each of the EU member states where the trial is to be conducted by two distinct bodies: the National Competent Authority (“NCA”) and one or more Ethics Committees (“ECs”). Under the current regime, all suspected unexpected serious adverse reactions to the investigated drug that occur during the clinical trial have to be reported to the NCA and ECs of the member state where they occurred.</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2014, a new Clinical Trials Regulation 536/2014 (“Clinical Trials Regulation”), replacing the current Directive, was adopted. The Clinical Trials Regulation will become directly applicable in all EU member states (without national implementation) once the EU Portal and Database are fully functional. The implementation of the Clinical Trials Regulation depends on confirmation of full functionality of the Clinical Trials Information System through an independent audit, which commenced in September 2020. This system went into application in first quarter of 2022. The Clinical Trials Regulation seeks to simplify and streamline the approval of clinical trials in the European Union. For example, the sponsor can submit a single application for approval of a clinical trial via the EU Portal. As part of the application process, the sponsor will propose a reporting member state, which will coordinate the validation and evaluation of the application. The reporting member state shall consult and coordinate with the other member states in which the clinical trial will take place, also referred to as the Member States Concerned. If an application is rejected, it can be amended and resubmitted through the EU Portal. If an approval is issued, the sponsor can start the clinical trial in all Member States Concerned. However, a Member State Concerned can in limited circumstances declare an “opt-out” from an approval. In such a case, the clinical trial cannot be conducted in that member state. The Clinical Trials Regulation also aims to streamline and simplify the rules on safety reporting and introduces enhanced transparency requirements such as mandatory submission of a summary of the clinical trial results to the EU Database.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Drug Review and Approval</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European Economic Area (“EEA”), which is comprised of the 27 EU member states plus Norway, Iceland, and Liechtenstein, medicinal products can only be commercialized after obtaining approval of an EU marketing authorization application (“MAA”). There are two types of marketing authorizations. The first is the community or centralized EU MAA, which is issued by the European Commission through the Centralized Procedure, based on the opinion of the Committee for Medicinal Products for Human Use (“CHMP”) of the European Medicines Agency and which is valid throughout the entire territory of the EEA. The Centralized Procedure is mandatory for certain types of drugs, such as biotechnology medicinal drugs, orphan medicinal drugs, and medicinal drugs containing a new active substance indicated for the treatment of AIDS, cancer, neurodegenerative disorders, diabetes, auto-immune, and viral diseases. The Centralized Procedure is optional for drugs containing a new active substance not yet authorized in the EEA, or for drugs that constitute a significant therapeutic, scientific, or technical innovation or which are in the interest of public health in the EU.</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National EU MAAs, which are issued by the competent authorities of the member states of the EEA and only cover their respective territory, are available for drugs not falling within the mandatory scope of the Centralized Procedure. Where a drug has already been authorized for marketing in a member state of the EEA, this National EU MAA can be recognized in another member states through the Mutual Recognition Procedure. If the drug has not received a National EU MAA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EU MAA is sought, one of which is selected by the applicant as the Reference Member State (“RMS”). The competent authority of the RMS prepares a draft assessment report, a draft summary of the drug characteristics (“SPC”), and a draft of the labeling and package leaflet, which are sent to the other member states, or the Member States Concerned, for their approval. If the Member States Concerned raise no objections, based on a potential serious risk to public health, to the assessment, SPC, labeling, or packaging proposed by the RMS, the drug is subsequently granted a national EU MAA in all the member states, i.e., in the RMS and the Member States Concerned.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above-described procedures, before granting the EU MAA, the EMA or the competent authorities of the member states of the EEA make an assessment of the risk-benefit balance of the drug on the basis of scientific criteria concerning its quality, safety, and efficacy.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Chemical Entity Exclusivity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Europe, new chemical entities, sometimes referred to as new active substances, qualify for eight years of data exclusivity upon marketing authorization and an additional two years of market exclusivity. This data exclusivity, if granted, prevents regulatory authorities in the EU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23, 2016, the electorate in the United Kingdom voted in favor of leaving the EU, commonly referred to as Brexit. Thereafter, on March 29, 2017, the country formally notified the EU of its intention to withdraw pursuant to Article 50 of the Lisbon Treaty. The United Kingdom formally left the EU on January 31, 2020. A transition period began on February 1, 2020, during which EU pharmaceutical law remains applicable to the United Kingdom and ended on December 31, 2020. Although the United Kingdom is no longer a member of the EU, EU law remains applicable in Northern Ireland, as set forth in the Protocol on Ireland and Northern Ireland and as amended by the Windsor Framework, which will be implemented in Northern Ireland on January 1, 2025. There are a number of new marketing authorization routes available in the United Kingdom, Great Britain (England, Scotland and Wales) or Northern Ireland, in addition to the national procedure. As with the EU position, a company can only start to market a medicine in the United Kingdom once it has received a marketing authorization. The main legislation that applies to clinical trials in the United Kingdom is the United Kingdom Medicines for Human Use (Clinical Trials) Regulations 2004, which transposes the Clinical Trials Directive into domestic law. Consequently, the requirements and obligations that relate to the conduct of clinical trials in the UK currently remain largely aligned with the EU position. It is unclear how future regulatory regime in the United Kingdom will impact regulations of products, manufacturers, and approval of product candidates in the United Kingdom.</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Foreign Countries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other countries outside of the United States and the European Union, the requirements governing the conduct of clinical trials, drug approval or marketing authorization, pricing, and reimbursement vary from country to country. In all cases, clinical trials must be conducted in accordance with GCP requirements and the applicable regulatory requirements and the ethical principles that have their origin in the Declaration of Helsinki, which is a statement of ethical principles for medical research involving human subjects, including research on identifiable human material and data, developed by the World Medical Association.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operated by leveraging skilled experts, consultants, contract research organizations, and contractors to manage our clinical operations, manufacturing, research and development, and other functions under the leadership and direction of our management. We will continue to expand our infrastructure to manage our operations, including commercial with additional full-time employees.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2023, we had 89 full-time or part-time employees. Of these employees, 55 employees are engaged in research and development activities and 34 employees are engaged in selling, general and administrative activities. In February 2024, we reduced our workforce by 12 employees, primarily related to restructuring of our commercial, medical affairs and corporate support functions. Following the restructuring, as of March 4, 2024, we had 74 full-time or part time employees, with 50 and 24 of these employees engaged in research and development activities and in selling, general and administrative activities, respectively. None of our employees are represented by labor unions or covered by collective bargaining agreements. We consider the relationship with our employees to be good.</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advisors and consultants, while being committed to a diverse and dynamic workplace. The principal purposes of our equity incentive plans are to attract, retain and reward personnel through</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granting of equity-based compensation awards in order to increase shareholder value and the success of our company by motivating such individuals to perform to the best of their abilities and achieve our objectives.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were originally incorporated in the State of Delaware in November 2007 under the name “Zeta Acquisition Corp. II.” Zeta Acquisition Corp. II was a “shell” company registered under the Exchange Act with no specific business plan or purpose until it began operating the business of Aerpio Pharmaceuticals, Inc. through a merger in March 2017. In August 2021, we effected a reverse merger pursuant to which a wholly owned subsidiary of ours, merged with and into Aadi Subsidiary, Inc. (formerly Aadi Bioscience, Inc.) (“Private Aadi”), with Private Aadi surviving as a wholly owned subsidiary of ours (the "Merger"). Upon the closing of the Merger, we changed our name from “Aerpio Pharmaceuticals, Inc.” to “Aadi Bioscience, Inc.” and the name of Private Aadi was changed from “Aadi Bioscience, Inc.” to “Aadi Subsidiary, Inc.”</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principal executive offices are located at 17383 Sunset Boulevard, Suite A250, Pacific Palisades, California 90272. We maintain a website at www.aadibio.com, to which we regularly post copies of our press releases as well as additional information about us. Our filings with the Securities and Exchange Commission (the “SEC”) will be available free of charge through the website as soon as reasonably practicable after being electronically filed with or furnished to the SEC. Information contained in our website does not constitute a part of this Annual Report on Form 10-K or any of our other filings with the SEC unless specifically incorporated herein by reference. In addition, our filings with the SEC may be accessed through the SEC’s Electronic Data Gathering, Analysis, and Retrieval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significant risks, some of which are described below. In evaluating our business, investors should carefully consider the following risk factors. These risks and uncertainties summarized above and described below are not intended to be exhaustive and are not the only ones we face. Additional risks and uncertainties not presently known to us or that we presently deem immaterial may also impair our business operations. Please see page 2 of this Annual Report for a discussion of some of the forward-looking statements that are qualified by these risk factors. If any of the following risks actually occur, our business, financial condition, results of operations and future growth prospects could be materially and adversely affected.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be aware of in evaluating our business, including those described in Part I, Item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1A. “Risk Factors” in this Annual Report on Form 10-K. These risks include, but are not limited to, the following:</w:t>
      </w:r>
    </w:p>
    <w:p>
      <w:pPr>
        <w:spacing w:after="0" w:line="99" w:lineRule="exact"/>
        <w:rPr>
          <w:sz w:val="20"/>
          <w:szCs w:val="20"/>
          <w:color w:val="auto"/>
        </w:rPr>
      </w:pPr>
    </w:p>
    <w:p>
      <w:pPr>
        <w:ind w:left="980" w:hanging="486"/>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commercial-stage biopharmaceutical company, have a limited operating history and have a single product approved for commercial sale, which may make it difficult for you to evaluate our current business and likelihood of success and viability.</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we expect to continue to incur significant net losses for the foreseeable future.</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profitability depends significantly on our ability to achieve several objectives relating to the discovery, development and commercialization of FYARRO and any other product candidates that we may develop in the future.</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United States approval for FYARRO for additional indications or any other product candidates that we may develop in the future or foreign regulatory approval for FYARRO or other product candidates that we may develop in the future and, as a result, may be unable to commercialize FYARRO in additional indications or any future product candidates and in such event our business will be substantially harmed.</w:t>
      </w:r>
    </w:p>
    <w:p>
      <w:pPr>
        <w:spacing w:after="0" w:line="71"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following approval and commercialization of FYARRO for the advanced malignant perivascular epithelioid cell tumor ("PEComa") indication, 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7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lead product candidate, FYARRO. If we are unable to successfully commercialize FYARRO for the advanced malignant PEComa indication or complete development of, obtain approval for and commercialize FYARRO for one or more other indications in a timely manner, our business will be harmed.</w:t>
      </w:r>
    </w:p>
    <w:p>
      <w:pPr>
        <w:spacing w:after="0" w:line="67"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qualified third parties for the production of FYARRO for commercialization and expect to continue to do so for additional clinical trials. This reliance on third parties, some of which are sole source suppliers, increases the risk that we will not have sufficient quality and quantities of FYARRO to meet demand or otherwise or such quantities at an acceptable cost, which could delay, prevent or impair our development or commercialization efforts.</w:t>
      </w:r>
    </w:p>
    <w:p>
      <w:pPr>
        <w:spacing w:after="0" w:line="7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replicate the results from our earlier preclinical studies and clinical trials of our product candidates in our later preclinical studies and clinical trials, we may be unable to successfully develop, obtain regulatory approval for and commercialize our product candidates.</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and/or maintenance of patients in clinical trials, our regulatory submissions or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resources and are currently focusing our efforts on developing and commercializing FYARRO for particular indications. As a result, we may fail to capitalize on other indications or product candidates that may ultimately prove to be more profitable or to have a greater likelihood of success.</w:t>
      </w:r>
    </w:p>
    <w:p>
      <w:pPr>
        <w:spacing w:after="0" w:line="6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opportunities for FYARRO and any other product candidates we may develop in the future, if approved, may be limited to certain smaller patient subsets.</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FYARRO is, and any other product candidate we may develop in the future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FYARRO, or any other product candidate we may develop in the future when and if any of them are approved.</w:t>
      </w:r>
    </w:p>
    <w:p>
      <w:pPr>
        <w:spacing w:after="0" w:line="7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is highly dependent on our ability to attract and retain highly skilled executive officers, key scientific personnel and employees. If we fail to attract and retain such personnel, we may be unable to continue to successfully develop or commercialize our product or any future product candidates or otherwise implement our business plan.</w:t>
      </w:r>
    </w:p>
    <w:p>
      <w:pPr>
        <w:spacing w:after="0" w:line="6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or appropriately scale up our sales or marketing capabilities or enter into agreements with third parties to sell or market our product candidates, we may not be able to successfully sell or market our product or any future product candidates that obtain regulatory approval.</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protect and strengthen our intellectual property and our proprietary technologies, including our ability to obtain patent term extension for our product or any future product candidates.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intellectual property licensed from third parties and termination of any of these licenses could result in the loss of significant rights, which would harm our business.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preclinical studies and clinical trials and those third parties may not perform satisfactorily.</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legal proceedings, including the EOC dispute, may substantially increase our costs and harm our business, irrespective of outcome.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Business, Financial Condition and Capital Requirements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a commercial-stage biopharmaceutical company, have a limited operating history and have a single product approved for commercial sale, which may make it difficult for you to evaluate our current business and likelihood of success and viability.</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 xml:space="preserve">We are a commercial-stage biopharmaceutical company with a limited operating history upon which you can evaluate our business and prospects. We have a single product, FYARRO, approved for commercial sale by the FDA in November 2021 and launched commercially in the United States </w:t>
      </w:r>
      <w:r>
        <w:rPr>
          <w:rFonts w:ascii="Times New Roman" w:cs="Times New Roman" w:eastAsia="Times New Roman" w:hAnsi="Times New Roman"/>
          <w:sz w:val="18"/>
          <w:szCs w:val="18"/>
          <w:color w:val="000000"/>
        </w:rPr>
        <w:t>for treatment of</w:t>
      </w:r>
      <w:r>
        <w:rPr>
          <w:rFonts w:ascii="Times New Roman" w:cs="Times New Roman" w:eastAsia="Times New Roman" w:hAnsi="Times New Roman"/>
          <w:sz w:val="18"/>
          <w:szCs w:val="18"/>
          <w:color w:val="231F20"/>
        </w:rPr>
        <w:t xml:space="preserve"> advanced malignant PEComa in February 2022. We generated net product sales for FYARRO of $24.4 million and $15.2 million for the years ended December 31, 2023 and 2022, respectively. We continue to incur significant research and development and other expenses related to our ongoing operations.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 xml:space="preserve">To date, we have devoted substantially all of our resources to research and development activities, business planning, establishing and maintaining our intellectual property portfolio, the commercialization of FYARRO, hiring personnel, raising capital and providing general and administrative support for these operations. We conducted a Phase 2 registrational study of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(“AMPECT" trial) for PEComa and completed a rolling New Drug Application (an “NDA”) submission for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in May 2021. The U.S. Food and Drug Administration (the “FDA”) accepted our NDA in July 2021 and approved FYARRO for the treatment of advanced malignant PEComa in November 2021.</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 xml:space="preserve">Based on the AMPECT trial and data for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in other solid tumors with </w:t>
      </w:r>
      <w:r>
        <w:rPr>
          <w:rFonts w:ascii="Times New Roman" w:cs="Times New Roman" w:eastAsia="Times New Roman" w:hAnsi="Times New Roman"/>
          <w:sz w:val="18"/>
          <w:szCs w:val="18"/>
          <w:i w:val="1"/>
          <w:iCs w:val="1"/>
          <w:color w:val="231F20"/>
        </w:rPr>
        <w:t>TSC1</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i w:val="1"/>
          <w:iCs w:val="1"/>
          <w:color w:val="231F20"/>
        </w:rPr>
        <w:t>TSC2</w:t>
      </w:r>
      <w:r>
        <w:rPr>
          <w:rFonts w:ascii="Times New Roman" w:cs="Times New Roman" w:eastAsia="Times New Roman" w:hAnsi="Times New Roman"/>
          <w:sz w:val="18"/>
          <w:szCs w:val="18"/>
          <w:color w:val="231F20"/>
        </w:rPr>
        <w:t xml:space="preserve"> inactivating alterations, and following discussions with the FDA, we opened enrollment for our registration-directed tumor-agnostic Phase 2 trial (“PRECISION1 trial”) in malignant solid tumors harboring </w:t>
      </w:r>
      <w:r>
        <w:rPr>
          <w:rFonts w:ascii="Times New Roman" w:cs="Times New Roman" w:eastAsia="Times New Roman" w:hAnsi="Times New Roman"/>
          <w:sz w:val="18"/>
          <w:szCs w:val="18"/>
          <w:i w:val="1"/>
          <w:iCs w:val="1"/>
          <w:color w:val="231F20"/>
        </w:rPr>
        <w:t>TSC1</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i w:val="1"/>
          <w:iCs w:val="1"/>
          <w:color w:val="231F20"/>
        </w:rPr>
        <w:t xml:space="preserve">TSC2 </w:t>
      </w:r>
      <w:r>
        <w:rPr>
          <w:rFonts w:ascii="Times New Roman" w:cs="Times New Roman" w:eastAsia="Times New Roman" w:hAnsi="Times New Roman"/>
          <w:sz w:val="18"/>
          <w:szCs w:val="18"/>
          <w:color w:val="231F20"/>
        </w:rPr>
        <w:t>inactivating alterations in the first quarter of 2022. In addition, w</w:t>
      </w:r>
      <w:r>
        <w:rPr>
          <w:rFonts w:ascii="Times New Roman" w:cs="Times New Roman" w:eastAsia="Times New Roman" w:hAnsi="Times New Roman"/>
          <w:sz w:val="18"/>
          <w:szCs w:val="18"/>
          <w:color w:val="000000"/>
        </w:rPr>
        <w:t>e are currently enrolling patients in (i) a Phase 2 open-label, multi-institutional study</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 xml:space="preserve">to evaluate the efficacy and safety of the combination of FYARRO with letrozole for the treatment of advanced or recurrent endometrioid-type endometrial cancer ("EEC"), (ii) a Phase 2 multicenter, open-label, single-arm trial to evaluate adult patients with functional or non-functional, well-differentiated, locally advanced unresectable or metastatic neuroendocrine tumors ("NETs") of the GI tract, lung, or pancreas who have received ≤2 prior lines of therapy excluding somatostatin analogs (SSTa). </w:t>
      </w:r>
      <w:r>
        <w:rPr>
          <w:rFonts w:ascii="Times New Roman" w:cs="Times New Roman" w:eastAsia="Times New Roman" w:hAnsi="Times New Roman"/>
          <w:sz w:val="18"/>
          <w:szCs w:val="18"/>
          <w:color w:val="231F20"/>
        </w:rPr>
        <w:t>In addition, in October 2022, we entered into a collaboration and supply agreement with Mirati Therapeutics, Inc.</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231F20"/>
        </w:rPr>
        <w:t>(“Mirati”) to evaluate the combination of Mirati’s adagrasib (KRAZATI</w:t>
      </w:r>
      <w:r>
        <w:rPr>
          <w:rFonts w:ascii="Times New Roman" w:cs="Times New Roman" w:eastAsia="Times New Roman" w:hAnsi="Times New Roman"/>
          <w:sz w:val="23"/>
          <w:szCs w:val="23"/>
          <w:color w:val="000000"/>
          <w:vertAlign w:val="superscript"/>
        </w:rPr>
        <w:t>®</w:t>
      </w:r>
      <w:r>
        <w:rPr>
          <w:rFonts w:ascii="Times New Roman" w:cs="Times New Roman" w:eastAsia="Times New Roman" w:hAnsi="Times New Roman"/>
          <w:sz w:val="18"/>
          <w:szCs w:val="18"/>
          <w:color w:val="231F20"/>
        </w:rPr>
        <w:t xml:space="preserve">), a </w:t>
      </w:r>
      <w:r>
        <w:rPr>
          <w:rFonts w:ascii="Times New Roman" w:cs="Times New Roman" w:eastAsia="Times New Roman" w:hAnsi="Times New Roman"/>
          <w:sz w:val="18"/>
          <w:szCs w:val="18"/>
          <w:color w:val="000000"/>
        </w:rPr>
        <w:t>KRAS</w:t>
      </w:r>
      <w:r>
        <w:rPr>
          <w:rFonts w:ascii="Times New Roman" w:cs="Times New Roman" w:eastAsia="Times New Roman" w:hAnsi="Times New Roman"/>
          <w:sz w:val="23"/>
          <w:szCs w:val="23"/>
          <w:color w:val="000000"/>
          <w:vertAlign w:val="superscript"/>
        </w:rPr>
        <w:t>G12C</w:t>
      </w:r>
      <w:r>
        <w:rPr>
          <w:rFonts w:ascii="Times New Roman" w:cs="Times New Roman" w:eastAsia="Times New Roman" w:hAnsi="Times New Roman"/>
          <w:sz w:val="18"/>
          <w:szCs w:val="18"/>
          <w:color w:val="231F20"/>
        </w:rPr>
        <w:t xml:space="preserve"> selective inhibitor, and FYARRO in </w:t>
      </w:r>
      <w:r>
        <w:rPr>
          <w:rFonts w:ascii="Times New Roman" w:cs="Times New Roman" w:eastAsia="Times New Roman" w:hAnsi="Times New Roman"/>
          <w:sz w:val="18"/>
          <w:szCs w:val="18"/>
          <w:color w:val="000000"/>
        </w:rPr>
        <w:t>KRAS</w:t>
      </w:r>
      <w:r>
        <w:rPr>
          <w:rFonts w:ascii="Times New Roman" w:cs="Times New Roman" w:eastAsia="Times New Roman" w:hAnsi="Times New Roman"/>
          <w:sz w:val="23"/>
          <w:szCs w:val="23"/>
          <w:color w:val="000000"/>
          <w:vertAlign w:val="superscript"/>
        </w:rPr>
        <w:t>G12C</w:t>
      </w:r>
      <w:r>
        <w:rPr>
          <w:rFonts w:ascii="Times New Roman" w:cs="Times New Roman" w:eastAsia="Times New Roman" w:hAnsi="Times New Roman"/>
          <w:sz w:val="18"/>
          <w:szCs w:val="18"/>
          <w:color w:val="231F20"/>
        </w:rPr>
        <w:t xml:space="preserve"> mutant non-small cell lung cancer ("NSCLC") and other solid tumors. Under the terms of the agreement, Mirati is responsible for sponsoring and o</w:t>
      </w:r>
      <w:r>
        <w:rPr>
          <w:rFonts w:ascii="Times New Roman" w:cs="Times New Roman" w:eastAsia="Times New Roman" w:hAnsi="Times New Roman"/>
          <w:sz w:val="18"/>
          <w:szCs w:val="18"/>
          <w:color w:val="000000"/>
        </w:rPr>
        <w:t>perating the Phase 1/2</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study and we will supply study drug and jointly share the cost of the study.</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We have limited experience managing the manufacture of commercial-scale product through a third party and conducting the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In addition, we may encounter unforeseen expenses, difficulties, complications, delays and other known and unknown factors and risks frequently experienced by early commercial-stage biopharmaceutical companies in rapidly evolving fields. We also are transitioning to a company capable of supporting commercial activities.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incurred significant net losses since our inception, and we expect to continue to incur significant net losses for the foreseeable future.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We have incurred significant net losses since our inception, have only recently begun to generate revenue from product sales and have financed our operations principally through private placements and public offerings of our securities, federal grants and proceeds from licenses. Our net losses were $65.8 million and $60.5 million for the years ended December 31, 2023 and 2022, respectively. We had an accumulated deficit of $269.0 million and $203.2 million as of December 31, 2023 and 2022, respectively. These losses have resulted primarily from costs incurred in connection with research and development activities, costs incurred in connection with commercializing FYARRO and general and administrative costs associated with our operations. We have only one product approved for commercial sale which generated net product sales of $24.4 million and $15.2 million for the years ended December 31, 2023 and 2022, respectively, and we continue to incur significant selling, general and administrative expenses as well as research and development expenses related to our ongoing operations. As a result, we expect to continue to incur significant operating expenses for the foreseeable future due to the cost of commercializing FYARRO, research and development, including identifying and designing additional product candidates and conducting preclinical studies and clinical trials, and the regulatory approval process for FYARRO and any future product candidates. We expect our expenses, and the potential for losses, to increase substantially as we commercialize FYARRO, continue to conduct clinical trials of FYARRO and seek to expand our pipeline. The amount of our future expenses and potential losses is uncertain.</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 xml:space="preserve">Even if we succeed in commercializing FYARRO for its approved </w:t>
      </w:r>
      <w:r>
        <w:rPr>
          <w:rFonts w:ascii="Times New Roman" w:cs="Times New Roman" w:eastAsia="Times New Roman" w:hAnsi="Times New Roman"/>
          <w:sz w:val="18"/>
          <w:szCs w:val="18"/>
          <w:color w:val="000000"/>
        </w:rPr>
        <w:t>advanced malignant</w:t>
      </w:r>
      <w:r>
        <w:rPr>
          <w:rFonts w:ascii="Times New Roman" w:cs="Times New Roman" w:eastAsia="Times New Roman" w:hAnsi="Times New Roman"/>
          <w:sz w:val="18"/>
          <w:szCs w:val="18"/>
          <w:color w:val="231F20"/>
        </w:rPr>
        <w:t xml:space="preserve"> PEComa indication, and if we succeed in receiving regulatory approval for and commercializing FYARRO in additional indications and any future product candidates, we expect to continue to incur significant expenses and increasing operating losses over the next several years and for the foreseeable future. The net losses we incur may fluctuate significantly from quarter-to-quarter such that a period-to-period comparison of our results of operations may not be a good indication of our future performance. The size of our future net losses will depend, in part, on the rate of future growth of our revenues and expenses. Our prior losses and expected future losses have had, and will continue to have, an adverse effect on our working capital, our ability to fund the continued commercialization of FYARRO, the development of FYARRO for additional indications and any future product candidates, our ability to achieve and maintain profitability and the performance of our stock price.</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ability to generate revenue and achieve profitability depends significantly on our ability to achieve several objectives relating to the discovery, development and commercialization of FYARRO and other product candidates that we may develop in the future.</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 xml:space="preserve">We have one product approved for commercialization in the United States, FYARRO, for the treatment of advanced malignant PEComa, which was approved by the FDA in November 2021 and launched commercially in the United States in February 2022. Our ability to generate substantial product sales sufficient to achieve profitability depends on our ability, alone or with strategic collaboration partners, to obtain the regulatory and marketing approvals necessary to successfully complete discovery, development and eventual commercialization of additional indications (such as </w:t>
      </w:r>
      <w:r>
        <w:rPr>
          <w:rFonts w:ascii="Times New Roman" w:cs="Times New Roman" w:eastAsia="Times New Roman" w:hAnsi="Times New Roman"/>
          <w:sz w:val="18"/>
          <w:szCs w:val="18"/>
          <w:i w:val="1"/>
          <w:iCs w:val="1"/>
          <w:color w:val="231F20"/>
        </w:rPr>
        <w:t>TSC1</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i w:val="1"/>
          <w:iCs w:val="1"/>
          <w:color w:val="231F20"/>
        </w:rPr>
        <w:t>TSC2</w:t>
      </w:r>
      <w:r>
        <w:rPr>
          <w:rFonts w:ascii="Times New Roman" w:cs="Times New Roman" w:eastAsia="Times New Roman" w:hAnsi="Times New Roman"/>
          <w:sz w:val="18"/>
          <w:szCs w:val="18"/>
          <w:color w:val="231F20"/>
        </w:rPr>
        <w:t>) or any future product candidates, and commercialize FYARRO or any other future product candidates, if approved, in foreign jurisdictions. We do not anticipate generating revenue from product sales significant enough to achieve profitability for the foreseeable future. Our ability to generate future revenue and achieve profitability depends significantly on our ability, or any current or future collaborator’s ability, to achieve several objectives, including, but not limited to:</w:t>
      </w:r>
    </w:p>
    <w:p>
      <w:pPr>
        <w:spacing w:after="0" w:line="84" w:lineRule="exact"/>
        <w:rPr>
          <w:sz w:val="20"/>
          <w:szCs w:val="20"/>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demonstrating the safety and efficacy of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to the satisfaction of the FDA and obtaining regulatory approval for </w:t>
      </w:r>
      <w:r>
        <w:rPr>
          <w:rFonts w:ascii="Times New Roman" w:cs="Times New Roman" w:eastAsia="Times New Roman" w:hAnsi="Times New Roman"/>
          <w:sz w:val="18"/>
          <w:szCs w:val="18"/>
          <w:color w:val="000000"/>
        </w:rPr>
        <w:t>FYARRO for other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indications </w:t>
      </w:r>
      <w:r>
        <w:rPr>
          <w:rFonts w:ascii="Times New Roman" w:cs="Times New Roman" w:eastAsia="Times New Roman" w:hAnsi="Times New Roman"/>
          <w:sz w:val="18"/>
          <w:szCs w:val="18"/>
          <w:color w:val="231F20"/>
        </w:rPr>
        <w:t>and for any other product candidates that we may develop in the future, if any, for which there is a commercial market;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launching and successfully commercializing FYARRO or any other product candidates that we may develop in the future following any regulatory approval, including the development of a commercial infrastructure, whether in-house or with one or more collaborators;</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maintaining a commercially viable supply of, and manufacturing relationships with third parties that can provide adequate, in both amount and quality, products and services to support clinical development and meet the market demand for FYARRO or any other product candidates that we may develop in the future, if approved;</w:t>
      </w:r>
    </w:p>
    <w:p>
      <w:pPr>
        <w:spacing w:after="0" w:line="6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completing development activities, including clinical trials for </w:t>
      </w:r>
      <w:r>
        <w:rPr>
          <w:rFonts w:ascii="Times New Roman" w:cs="Times New Roman" w:eastAsia="Times New Roman" w:hAnsi="Times New Roman"/>
          <w:sz w:val="18"/>
          <w:szCs w:val="18"/>
          <w:color w:val="000000"/>
        </w:rPr>
        <w:t>FYARRO for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TSC1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TSC2</w:t>
      </w:r>
      <w:r>
        <w:rPr>
          <w:rFonts w:ascii="Times New Roman" w:cs="Times New Roman" w:eastAsia="Times New Roman" w:hAnsi="Times New Roman"/>
          <w:sz w:val="18"/>
          <w:szCs w:val="18"/>
          <w:color w:val="231F20"/>
        </w:rPr>
        <w:t>, successfully and on a timely basis;</w:t>
      </w:r>
    </w:p>
    <w:p>
      <w:pPr>
        <w:spacing w:after="0" w:line="11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obtaining additional regulatory and marketing approvals for FYARRO for additional indications;</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complete investigational new drug application (an “IND”) enabling studies and successfully submit INDs or IND supplements or comparable applications, which become effective without any objections by the FDA or comparable regulatory authorities before commencing a clinical trial for any future product candidates;</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establishing and maintaining relationships with contract research organizations (“CROs”) and clinical sites for the clinical development of </w:t>
      </w:r>
      <w:r>
        <w:rPr>
          <w:rFonts w:ascii="Times New Roman" w:cs="Times New Roman" w:eastAsia="Times New Roman" w:hAnsi="Times New Roman"/>
          <w:sz w:val="18"/>
          <w:szCs w:val="18"/>
          <w:color w:val="000000"/>
        </w:rPr>
        <w:t xml:space="preserve">FYARRO in other indications </w:t>
      </w:r>
      <w:r>
        <w:rPr>
          <w:rFonts w:ascii="Times New Roman" w:cs="Times New Roman" w:eastAsia="Times New Roman" w:hAnsi="Times New Roman"/>
          <w:sz w:val="18"/>
          <w:szCs w:val="18"/>
          <w:color w:val="231F20"/>
        </w:rPr>
        <w:t>and any other future product candidates that we may develop;</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timely receipt of regulatory approvals from applicable regulatory authorities for any product candidates for which we successfully complete clinical development;</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developing or contracting for an efficient and scalable manufacturing process for future product candidates, including obtaining finished products that are appropriately packaged for sale;</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negotiating and maintaining an adequate price for FYARRO or any future product candidates, both in the United States and in foreign countries where our products are commercialized;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continued acceptable safety profile following any regulatory approval of product candidates;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commercial acceptance of product candidates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obtaining coverage and adequate reimbursement by third-party payors for FYARRO or any future product candidates;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satisfying any required post-regulatory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identifying, assessing and developing new product candidates;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obtaining, maintaining and expanding patent protection, trade secret protection and regulatory exclusivity, both in the United States and internationally;</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protecting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defending against third-party interference or infringement claims, if any;</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entering into and maintaining, on favorable terms, any collaboration, licensing or other arrangements that may be necessary or desirable to develop, manufacture or commercialize FYARRO and any future product candidates;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addressing any competing therapies and technological and market developments and attracting, hiring and retaining qualified personnel.</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or continue our operations and could cause a decline in the value of our common stock.</w:t>
      </w:r>
    </w:p>
    <w:p>
      <w:pPr>
        <w:spacing w:after="0" w:line="6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Developing pharmaceutical products, including conducting preclinical studies and clinical trials, is a very time-consuming, expensive and uncertain process that takes years to complete. Our operations have consumed substantial amounts of cash</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 xml:space="preserve">since inception, and we expect this will continue as a result of our ongoing and planned activities, particularly as we seek additional regulatory approval of FYARRO for additional indications, and the continued commercialization of </w:t>
      </w:r>
      <w:r>
        <w:rPr>
          <w:rFonts w:ascii="Times New Roman" w:cs="Times New Roman" w:eastAsia="Times New Roman" w:hAnsi="Times New Roman"/>
          <w:sz w:val="18"/>
          <w:szCs w:val="18"/>
          <w:color w:val="000000"/>
        </w:rPr>
        <w:t>FYARRO for its approved indication (advanced malignant PEComa)</w:t>
      </w:r>
      <w:r>
        <w:rPr>
          <w:rFonts w:ascii="Times New Roman" w:cs="Times New Roman" w:eastAsia="Times New Roman" w:hAnsi="Times New Roman"/>
          <w:sz w:val="18"/>
          <w:szCs w:val="18"/>
          <w:color w:val="231F20"/>
        </w:rPr>
        <w:t xml:space="preserve">. Our expenses could increase beyond our current expectations if we are required by the FDA, the European Medicines Agency (the “EMA”) or other regulatory agencies to perform clinical trials or preclinical studies in addition to those that we currently anticipate, or if there are any delays in any of our clinical trials or the development of any future product candidates. Other unanticipated costs may also arise. In addition, even if we obtain regulatory approval for additional indications for </w:t>
      </w:r>
      <w:r>
        <w:rPr>
          <w:rFonts w:ascii="Times New Roman" w:cs="Times New Roman" w:eastAsia="Times New Roman" w:hAnsi="Times New Roman"/>
          <w:sz w:val="18"/>
          <w:szCs w:val="18"/>
          <w:color w:val="000000"/>
        </w:rPr>
        <w:t>FYARRO or any other product candidates that we may develop in the future</w:t>
      </w:r>
      <w:r>
        <w:rPr>
          <w:rFonts w:ascii="Times New Roman" w:cs="Times New Roman" w:eastAsia="Times New Roman" w:hAnsi="Times New Roman"/>
          <w:sz w:val="18"/>
          <w:szCs w:val="18"/>
          <w:color w:val="231F20"/>
        </w:rPr>
        <w:t xml:space="preserve">, we expect to incur significant commercialization expenses related to sales, marketing, manufacturing and distribution activities and ongoing compliance activities. Although we launched FYARRO commercially for advanced malignant PEComa in February 2022, we cannot reasonably estimate the actual amount of resources and funding that will be necessary to successfully commercialize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for the </w:t>
      </w:r>
      <w:r>
        <w:rPr>
          <w:rFonts w:ascii="Times New Roman" w:cs="Times New Roman" w:eastAsia="Times New Roman" w:hAnsi="Times New Roman"/>
          <w:sz w:val="18"/>
          <w:szCs w:val="18"/>
          <w:color w:val="000000"/>
        </w:rPr>
        <w:t>advanced malignant</w:t>
      </w:r>
      <w:r>
        <w:rPr>
          <w:rFonts w:ascii="Times New Roman" w:cs="Times New Roman" w:eastAsia="Times New Roman" w:hAnsi="Times New Roman"/>
          <w:sz w:val="18"/>
          <w:szCs w:val="18"/>
          <w:color w:val="231F20"/>
        </w:rPr>
        <w:t xml:space="preserve"> PEComa indication or complete the development and, if approved, commercialize FYARRO for any additional indications, or any other product candidates we may develop in the future. Upon receiving regulatory approval for FYARRO from the FDA in November 2021, we are only permitted to market or promote </w:t>
      </w:r>
      <w:r>
        <w:rPr>
          <w:rFonts w:ascii="Times New Roman" w:cs="Times New Roman" w:eastAsia="Times New Roman" w:hAnsi="Times New Roman"/>
          <w:sz w:val="18"/>
          <w:szCs w:val="18"/>
          <w:color w:val="000000"/>
        </w:rPr>
        <w:t>FYARRO for the advanced malignant PEComa indication</w:t>
      </w:r>
      <w:r>
        <w:rPr>
          <w:rFonts w:ascii="Times New Roman" w:cs="Times New Roman" w:eastAsia="Times New Roman" w:hAnsi="Times New Roman"/>
          <w:sz w:val="18"/>
          <w:szCs w:val="18"/>
          <w:color w:val="231F20"/>
        </w:rPr>
        <w:t>, and not for any other indication, or any other product candidate, in the United States. In addition, we have incurred, and will continue to incur, additional costs associated with operating as a public company. Accordingly, we will need to obtain substantial additional funding in order to continue our operations.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As of December 31, 2023, we had $108.8 million in cash, cash equivalents and short-term investments. Based on our current operating plan, we believe that our cash, cash equivalents and short-term investments will enable us to fund our planned operating expenses and capital expenditures into the fourth quarter of 2025. Our estimate as to how long we expect our cash, cash equivalents and short-term investments to be able to continue to fund our operations is based on assumptions that may prove to be wrong, and we could exhaust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 xml:space="preserve">We plan to use our cash, cash equivalents and short-term investments to fund the continued commercialization of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for the </w:t>
      </w:r>
      <w:r>
        <w:rPr>
          <w:rFonts w:ascii="Times New Roman" w:cs="Times New Roman" w:eastAsia="Times New Roman" w:hAnsi="Times New Roman"/>
          <w:sz w:val="18"/>
          <w:szCs w:val="18"/>
          <w:color w:val="000000"/>
        </w:rPr>
        <w:t>advanced malignant</w:t>
      </w:r>
      <w:r>
        <w:rPr>
          <w:rFonts w:ascii="Times New Roman" w:cs="Times New Roman" w:eastAsia="Times New Roman" w:hAnsi="Times New Roman"/>
          <w:sz w:val="18"/>
          <w:szCs w:val="18"/>
          <w:color w:val="231F20"/>
        </w:rPr>
        <w:t xml:space="preserve"> PEComa indication, ongoing and planned clinical trials of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for other indications such as the </w:t>
      </w:r>
      <w:r>
        <w:rPr>
          <w:rFonts w:ascii="Times New Roman" w:cs="Times New Roman" w:eastAsia="Times New Roman" w:hAnsi="Times New Roman"/>
          <w:sz w:val="18"/>
          <w:szCs w:val="18"/>
          <w:i w:val="1"/>
          <w:iCs w:val="1"/>
          <w:color w:val="231F20"/>
        </w:rPr>
        <w:t>TSC1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TSC2,</w:t>
      </w:r>
      <w:r>
        <w:rPr>
          <w:rFonts w:ascii="Times New Roman" w:cs="Times New Roman" w:eastAsia="Times New Roman" w:hAnsi="Times New Roman"/>
          <w:sz w:val="18"/>
          <w:szCs w:val="18"/>
          <w:color w:val="231F20"/>
        </w:rPr>
        <w:t xml:space="preserve"> EEC and NETs indications, for manufacturing operations and to fund our other research for other product candidates and development activities, as well as for working capital and other general corporate purposes. Advancing the development of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in additional indications and any future product candidate will require a significant amount of capital. Our existing cash, cash equivalents and short-term investments will not be sufficient to fund all of the activities that are necessary to complete the development of </w:t>
      </w:r>
      <w:r>
        <w:rPr>
          <w:rFonts w:ascii="Times New Roman" w:cs="Times New Roman" w:eastAsia="Times New Roman" w:hAnsi="Times New Roman"/>
          <w:sz w:val="18"/>
          <w:szCs w:val="18"/>
          <w:color w:val="000000"/>
        </w:rPr>
        <w:t>FYARRO and any future product candidates</w:t>
      </w:r>
      <w:r>
        <w:rPr>
          <w:rFonts w:ascii="Times New Roman" w:cs="Times New Roman" w:eastAsia="Times New Roman" w:hAnsi="Times New Roman"/>
          <w:sz w:val="18"/>
          <w:szCs w:val="18"/>
          <w:color w:val="231F20"/>
        </w:rPr>
        <w:t>.</w:t>
      </w:r>
    </w:p>
    <w:p>
      <w:pPr>
        <w:spacing w:after="0" w:line="79"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231F20"/>
        </w:rPr>
        <w:t>We will be required to obtain further funding to support our continuing operations through public or private equity offerings, debt financings, third-party funding, marketing and distribution arrangements, collaborations with third parties and licensing arrangements or other sources or a combination of these approaches, which may dilute our stockholders or restrict our operating activities. Any additional fundraising efforts may divert our management from their day-to-day activities, which may adversely affect our ability to further develop and commercialize FYARRO or any other product candidates we may develop in the future, if approved. Adequate additional financing may not be available to us in sufficient amounts or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and the possibility of such issuance may cause the market price of our shares to decline. Debt financing may result in imposition of debt covenants, increased fixed payment obligations or other restrictions that may affect the conduct of our business. If we raise additional funds through up-front payments or milestone payments pursuant to strategic collaborations with third parties, we may have to relinquish valuable rights to certain of our technologies or our product candidates, or grant licenses on terms that are not favorable to us, which may have a material adverse effect on our business, operating results and prospects. Our ability to raise additional funds may be adversely impacted by potential worsening global economic conditions and the recent disruptions to, and volatility in, the credit and financial markets in the United States and worldwide resulting from rising inflation and interest rates, monetary policy changes, the COVID</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19 pandemic, the conflicts in Ukraine and the Middle East, and otherwise. In addition, we may seek additional capital due to favorable market conditions or strategic considerations even if we believe we have sufficient funds for our current or future operating plans.</w:t>
      </w:r>
    </w:p>
    <w:p>
      <w:pPr>
        <w:spacing w:after="0" w:line="1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Our failure to raise capital as and when needed or on acceptable terms would have a negative impact on our financial condition and our ability to pursue our business strategy, and we may have to significantly delay, reduce the scope of, suspend or eliminate one or more of our research or development programs, clinical trials or future commercialization efforts.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the Discovery, Development and Commercialization of Our Product Candidates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We have only one product, FYARRO, which has completed development and obtained regulatory approval by the FDA for a single indication. We are substantially dependent on the success of </w:t>
      </w:r>
      <w:r>
        <w:rPr>
          <w:rFonts w:ascii="Times New Roman" w:cs="Times New Roman" w:eastAsia="Times New Roman" w:hAnsi="Times New Roman"/>
          <w:sz w:val="18"/>
          <w:szCs w:val="18"/>
          <w:b w:val="1"/>
          <w:bCs w:val="1"/>
          <w:i w:val="1"/>
          <w:iCs w:val="1"/>
          <w:color w:val="000000"/>
        </w:rPr>
        <w:t>FYARRO</w:t>
      </w:r>
      <w:r>
        <w:rPr>
          <w:rFonts w:ascii="Times New Roman" w:cs="Times New Roman" w:eastAsia="Times New Roman" w:hAnsi="Times New Roman"/>
          <w:sz w:val="18"/>
          <w:szCs w:val="18"/>
          <w:b w:val="1"/>
          <w:bCs w:val="1"/>
          <w:i w:val="1"/>
          <w:iCs w:val="1"/>
          <w:color w:val="231F20"/>
        </w:rPr>
        <w:t xml:space="preserve">. If we are unable to successfully commercialize </w:t>
      </w:r>
      <w:r>
        <w:rPr>
          <w:rFonts w:ascii="Times New Roman" w:cs="Times New Roman" w:eastAsia="Times New Roman" w:hAnsi="Times New Roman"/>
          <w:sz w:val="18"/>
          <w:szCs w:val="18"/>
          <w:b w:val="1"/>
          <w:bCs w:val="1"/>
          <w:i w:val="1"/>
          <w:iCs w:val="1"/>
          <w:color w:val="000000"/>
        </w:rPr>
        <w:t>FYARRO for the advanced malignant PEComa</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b w:val="1"/>
          <w:bCs w:val="1"/>
          <w:i w:val="1"/>
          <w:iCs w:val="1"/>
          <w:color w:val="000000"/>
        </w:rPr>
        <w:t xml:space="preserve">indication or complete development of, obtain approval for and commercialize FYARRO </w:t>
      </w:r>
      <w:r>
        <w:rPr>
          <w:rFonts w:ascii="Times New Roman" w:cs="Times New Roman" w:eastAsia="Times New Roman" w:hAnsi="Times New Roman"/>
          <w:sz w:val="18"/>
          <w:szCs w:val="18"/>
          <w:b w:val="1"/>
          <w:bCs w:val="1"/>
          <w:i w:val="1"/>
          <w:iCs w:val="1"/>
          <w:color w:val="231F20"/>
        </w:rPr>
        <w:t>for one or more additional indications in a timely manner, our</w:t>
      </w:r>
      <w:r>
        <w:rPr>
          <w:rFonts w:ascii="Times New Roman" w:cs="Times New Roman" w:eastAsia="Times New Roman" w:hAnsi="Times New Roman"/>
          <w:sz w:val="18"/>
          <w:szCs w:val="18"/>
          <w:b w:val="1"/>
          <w:bCs w:val="1"/>
          <w:i w:val="1"/>
          <w:iCs w:val="1"/>
          <w:color w:val="000000"/>
        </w:rPr>
        <w:t xml:space="preserve"> </w:t>
      </w:r>
      <w:r>
        <w:rPr>
          <w:rFonts w:ascii="Times New Roman" w:cs="Times New Roman" w:eastAsia="Times New Roman" w:hAnsi="Times New Roman"/>
          <w:sz w:val="18"/>
          <w:szCs w:val="18"/>
          <w:b w:val="1"/>
          <w:bCs w:val="1"/>
          <w:i w:val="1"/>
          <w:iCs w:val="1"/>
          <w:color w:val="231F20"/>
        </w:rPr>
        <w:t>business will be harmed.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We have only one commercial product that has launched, completed development and been approved by the FDA, FYARRO for </w:t>
      </w:r>
      <w:r>
        <w:rPr>
          <w:rFonts w:ascii="Times New Roman" w:cs="Times New Roman" w:eastAsia="Times New Roman" w:hAnsi="Times New Roman"/>
          <w:sz w:val="18"/>
          <w:szCs w:val="18"/>
          <w:color w:val="000000"/>
        </w:rPr>
        <w:t>advanced malignant</w:t>
      </w:r>
      <w:r>
        <w:rPr>
          <w:rFonts w:ascii="Times New Roman" w:cs="Times New Roman" w:eastAsia="Times New Roman" w:hAnsi="Times New Roman"/>
          <w:sz w:val="18"/>
          <w:szCs w:val="18"/>
          <w:color w:val="231F20"/>
        </w:rPr>
        <w:t xml:space="preserve"> PEComa. Our future success is dependent on our ability to successfully commercialize FYARRO, and to timely and successfully obtain regulatory approval for additional indications for FYARRO. We are investing the majority of our efforts and financial resources to continue commercialization of FYARRO for the advanced malignant PEComa indication and in the research and development of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for multiple additional indications.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 xml:space="preserve">In May 2021, we completed the filing of a rolling NDA for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to the FDA for approval to treat patients with advanced malignant PEComa, and the FDA accepted our NDA in July 2021 and approved FYARRO for advanced malignant PEComa in November 2021. Our NDA was based on results from our AMPECT trial, which involved patients for whom there were no approved therapies in the United States.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will require additional clinical development, expansion of manufacturing capabilities, regulatory approval from foreign regulatory authorities in jurisdictions outside of the United States where we plan to market </w:t>
      </w:r>
      <w:r>
        <w:rPr>
          <w:rFonts w:ascii="Times New Roman" w:cs="Times New Roman" w:eastAsia="Times New Roman" w:hAnsi="Times New Roman"/>
          <w:sz w:val="18"/>
          <w:szCs w:val="18"/>
          <w:color w:val="000000"/>
        </w:rPr>
        <w:t>FYARRO for advanced malignant PEComa and potentially in additional indications</w:t>
      </w:r>
      <w:r>
        <w:rPr>
          <w:rFonts w:ascii="Times New Roman" w:cs="Times New Roman" w:eastAsia="Times New Roman" w:hAnsi="Times New Roman"/>
          <w:sz w:val="18"/>
          <w:szCs w:val="18"/>
          <w:color w:val="231F20"/>
        </w:rPr>
        <w:t xml:space="preserve">, if approved, substantial investment and significant marketing efforts before we can generate any substantial revenues from product sales. We are not permitted to market or promote </w:t>
      </w:r>
      <w:r>
        <w:rPr>
          <w:rFonts w:ascii="Times New Roman" w:cs="Times New Roman" w:eastAsia="Times New Roman" w:hAnsi="Times New Roman"/>
          <w:sz w:val="18"/>
          <w:szCs w:val="18"/>
          <w:color w:val="000000"/>
        </w:rPr>
        <w:t>FYARRO for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any non-PEComa indications</w:t>
      </w:r>
      <w:r>
        <w:rPr>
          <w:rFonts w:ascii="Times New Roman" w:cs="Times New Roman" w:eastAsia="Times New Roman" w:hAnsi="Times New Roman"/>
          <w:sz w:val="18"/>
          <w:szCs w:val="18"/>
          <w:color w:val="231F20"/>
        </w:rPr>
        <w:t>, until we receive regulatory approval from the FDA and comparable foreign regulatory authorities for any such additional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indication, and we may never receive such regulatory approvals.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success of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will depend on several factors, including the following:</w:t>
      </w:r>
    </w:p>
    <w:p>
      <w:pPr>
        <w:spacing w:after="0" w:line="117" w:lineRule="exact"/>
        <w:rPr>
          <w:sz w:val="20"/>
          <w:szCs w:val="20"/>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FYARRO in a larger number of patients in a non-clinical trial setting than those demonstrated in our clinical trials;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marketing and distribution efforts;</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maintenance of existing, or the establishment of new supply arrangements with third-party drug product suppliers and manufacturers for sufficient commercial supplies and additional clinical development of FYARRO;</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success of our commercial sales, including the ongoing development of a commercial infrastructure, whether in-house or with one or more collaborators;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the timely receipt of regulatory approval for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from applicable foreign regulatory authorities for advanced malignant PEComa;</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successful </w:t>
      </w:r>
      <w:r>
        <w:rPr>
          <w:rFonts w:ascii="Times New Roman" w:cs="Times New Roman" w:eastAsia="Times New Roman" w:hAnsi="Times New Roman"/>
          <w:sz w:val="18"/>
          <w:szCs w:val="18"/>
          <w:color w:val="231F20"/>
        </w:rPr>
        <w:t>completion of any clinical trials, regulatory approval and commercialization of FYARRO for one or more label expansion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indications;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extent of any required post-regulatory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medical professionals to prescribe and patients to use FYARRO and continue to use FYARRO;</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and pricing by private and government payors;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side effects;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of prescribing, administrating and initiating patients on FYARRO;</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value and relative cost of FYARRO;</w:t>
      </w:r>
    </w:p>
    <w:p>
      <w:pPr>
        <w:spacing w:after="0" w:line="117" w:lineRule="exact"/>
        <w:rPr>
          <w:rFonts w:ascii="Times New Roman" w:cs="Times New Roman" w:eastAsia="Times New Roman" w:hAnsi="Times New Roman"/>
          <w:sz w:val="18"/>
          <w:szCs w:val="18"/>
          <w:color w:val="auto"/>
        </w:rPr>
      </w:pPr>
    </w:p>
    <w:p>
      <w:pPr>
        <w:ind w:left="1020" w:hanging="526"/>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the successful and timely completion of the required preclinical studies and clinical trials of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for current and future indications;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INDs going into effect with the FDA for our planned and future clinical trials;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the initiation and successful patient enrollment and completion of additional clinical trials of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on a timely basis, including our PRECISION1 trial;</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maintaining and establishing relationships with CROs and clinical sites for the development of FYARRO both in the United States and internationally;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type, frequency and severity of adverse events in clinical trials;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demonstrating efficacy and safety profiles that are satisfactory to the FDA and any comparable foreign regulatory authority for regulatory approval;</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and maintaining patent protection,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231F20"/>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continued acceptable safety profile following our current and future regulatory approval;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compete with other therapies.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 xml:space="preserve">In addition to advanced malignant PEComa, based on exploratory data from the completed AMPECT trial and data for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in other solid tumors with </w:t>
      </w:r>
      <w:r>
        <w:rPr>
          <w:rFonts w:ascii="Times New Roman" w:cs="Times New Roman" w:eastAsia="Times New Roman" w:hAnsi="Times New Roman"/>
          <w:sz w:val="18"/>
          <w:szCs w:val="18"/>
          <w:i w:val="1"/>
          <w:iCs w:val="1"/>
          <w:color w:val="231F20"/>
        </w:rPr>
        <w:t xml:space="preserve">TSC1 </w:t>
      </w:r>
      <w:r>
        <w:rPr>
          <w:rFonts w:ascii="Times New Roman" w:cs="Times New Roman" w:eastAsia="Times New Roman" w:hAnsi="Times New Roman"/>
          <w:sz w:val="18"/>
          <w:szCs w:val="18"/>
          <w:color w:val="231F20"/>
        </w:rPr>
        <w:t>and</w:t>
      </w:r>
      <w:r>
        <w:rPr>
          <w:rFonts w:ascii="Times New Roman" w:cs="Times New Roman" w:eastAsia="Times New Roman" w:hAnsi="Times New Roman"/>
          <w:sz w:val="18"/>
          <w:szCs w:val="18"/>
          <w:i w:val="1"/>
          <w:iCs w:val="1"/>
          <w:color w:val="231F20"/>
        </w:rPr>
        <w:t xml:space="preserve"> TSC2 </w:t>
      </w:r>
      <w:r>
        <w:rPr>
          <w:rFonts w:ascii="Times New Roman" w:cs="Times New Roman" w:eastAsia="Times New Roman" w:hAnsi="Times New Roman"/>
          <w:sz w:val="18"/>
          <w:szCs w:val="18"/>
          <w:color w:val="231F20"/>
        </w:rPr>
        <w:t>inactivating alterations, we initiated PRECISION1, our registration-directed tumor-agnostic Phase 2 study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in patients with</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 xml:space="preserve">malignant solid tumors harboring </w:t>
      </w:r>
      <w:r>
        <w:rPr>
          <w:rFonts w:ascii="Times New Roman" w:cs="Times New Roman" w:eastAsia="Times New Roman" w:hAnsi="Times New Roman"/>
          <w:sz w:val="18"/>
          <w:szCs w:val="18"/>
          <w:i w:val="1"/>
          <w:iCs w:val="1"/>
          <w:color w:val="231F20"/>
        </w:rPr>
        <w:t>TSC1</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i w:val="1"/>
          <w:iCs w:val="1"/>
          <w:color w:val="231F20"/>
        </w:rPr>
        <w:t>TSC2</w:t>
      </w:r>
      <w:r>
        <w:rPr>
          <w:rFonts w:ascii="Times New Roman" w:cs="Times New Roman" w:eastAsia="Times New Roman" w:hAnsi="Times New Roman"/>
          <w:sz w:val="18"/>
          <w:szCs w:val="18"/>
          <w:color w:val="231F20"/>
        </w:rPr>
        <w:t xml:space="preserve"> alterations. We completed a Type B meeting with the FDA in which we discussed the trial design. The PRECISION1 trial is ongoing, with the first patient dosed in March 2022. </w:t>
      </w:r>
      <w:r>
        <w:rPr>
          <w:rFonts w:ascii="Times New Roman" w:cs="Times New Roman" w:eastAsia="Times New Roman" w:hAnsi="Times New Roman"/>
          <w:sz w:val="18"/>
          <w:szCs w:val="18"/>
          <w:color w:val="000000"/>
        </w:rPr>
        <w:t>On December 14, 2023, we announced results from an interim analysis on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first third of participants in the PRECISION1 trial. The trial is expected to be completed by the end of 2024 with results anticipated in early 2025. For more information regarding the PRECISION1 trial, including the interim analysis, see Part I, Item 1 (Business). </w:t>
      </w:r>
      <w:r>
        <w:rPr>
          <w:rFonts w:ascii="Times New Roman" w:cs="Times New Roman" w:eastAsia="Times New Roman" w:hAnsi="Times New Roman"/>
          <w:sz w:val="18"/>
          <w:szCs w:val="18"/>
          <w:color w:val="231F20"/>
        </w:rPr>
        <w:t>Our product development costs could increase if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we experience delays. Significant trial delays also could shorten any periods during which we may have the exclusive right to commercialize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or allow our competitors to bring products to market before we do, which would impair our ability to successfully capitalize on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and may harm our business, results of operations and prospects. Events that may result in a delay or unsuccessful completion of additional clinical development of FYARRO include, among other things:</w:t>
      </w:r>
    </w:p>
    <w:p>
      <w:pPr>
        <w:spacing w:after="0" w:line="86" w:lineRule="exact"/>
        <w:rPr>
          <w:sz w:val="20"/>
          <w:szCs w:val="20"/>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unexpectedly high rate of patients withdrawing consent or being lost to follow-up;</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feedback from the FDA and foreign regulatory authorities, institutional review boards (“IRBs”), or a data safety monitoring board, or results from clinical trials that might require modification to a clinical trial protocol;</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imposition of a clinical hold by the FDA or other regulatory authorities, a decision by the FDA, other regulatory authorities, IRBs or us, or a recommendation by a data safety monitoring board to suspend or terminate trials at any time for safety issues or for any other reason;</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deviations from the trial protocol by clinical trial sites and investigators or failure to conduct the trial in accordance with regulatory requirements;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failure of third parties, such as CROs, to satisfy their contractual duties or meet expected deadlines;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in the testing, validation, manufacturing and delivery of FYARRO to customers or the clinical trial sites;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caused by patients dropping out of a trial due to side effects, disease progression or other reasons;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unacceptable risk-benefit profile or unforeseen safety issues or adverse drug reactions;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failure to demonstrate the efficacy of FYARRO in this clinical trial;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in government regulations or administrative actions or lack of adequate funding to continue the trials; or</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business interruptions resulting from geo-political actions, including war and terrorism, such as the conflicts in Ukraine and the Middle East, or natural disasters and public health epidemics, such as the COVID-19 pandemic.</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An inability by us to timely complete clinical development could result in additional costs to us or impair our ability to generate substantial product sales or development, regulatory, commercialization and sales milestone payments and royalties on product sales.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We do not have complete control over many of these factors, including certain aspects of clinical development and the regulatory submission process, and we could face potential threats to our intellectual property rights and the manufacturing, marketing, distribution and sales efforts of our current or any future collaborators. If we are not successful with respect to one or more of these factors, we could experience significant delays or an inability to successfully commercialize FYARRO for multiple indications in a timely manner or at all, which would materially harm our business. If we do not receive regulatory approvals for FYARRO in additional indications or for other product candidates, we may not be able to continue our operations.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 addition to FYARRO, our prospects depend in part upon discovering, developing and commercializing additional product candidates, which may fail in development or suffer delays that adversely affect their commercial viability.</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Our future operating results are dependent on our ability to successfully discover, develop, obtain regulatory approval for and/or commercialize product candidates other than FYARRO. Prior to initiating clinical trials with product candidates, we will need to file an IND or similar application to the FDA or regulatory authorities in other jurisdictions. We may not be able to file future INDs for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result in the suspension or termination of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clearance for our trials may prevent us from developing product candidates on a timely basis, if at all.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success of other product candidates we may develop will depend on many factors, including the following:</w:t>
      </w:r>
    </w:p>
    <w:p>
      <w:pPr>
        <w:spacing w:after="0" w:line="117" w:lineRule="exact"/>
        <w:rPr>
          <w:sz w:val="20"/>
          <w:szCs w:val="20"/>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generating sufficient preclinical data to support the initiation of clinical trials;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obtaining regulatory permission to initiate clinical trials;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contracting with the necessary parties to conduct preclinical studies and clinical trials;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successful enrollment of patients in, and the completion of, clinical trials on a timely basis;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timely manufacture of sufficient quantities of a product candidate for use in clinical trials; and</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generating sufficient safety and efficacy data to warrant continued development and which are satisfactory to the FDA or any other regulatory authority for marketing approval.</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any additional product candidates beyond FYARRO for advanced malignant PEComa.</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FYARRO or any other product candidates we may develop in the future may not achieve adequate market acceptance among physicians, patients, healthcare payors and others in the medical community necessary for commercial success, which would limit the revenue that we generate from our sales.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though FYARRO has been approved for advanced malignant PEComa, and even if any other product candidates that we may develop in the future receive regulatory approval, such approved product candidates may not gain adequate market acceptance among physicians, patients, third-party payors and others in the medical community. The degree of market acceptance of any of our approved product candidates will depend on a number of factors, including, among others:</w:t>
      </w:r>
    </w:p>
    <w:p>
      <w:pPr>
        <w:spacing w:after="0" w:line="72" w:lineRule="exact"/>
        <w:rPr>
          <w:sz w:val="20"/>
          <w:szCs w:val="20"/>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clinical trials compared to alternative treatments;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 product candidate is approved;</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third-party payors, including government authorities or the willingness of patients to pay out-of-pocket in the absence of third-party payor coverage;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approved product candidate for use as a combination therapy;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effects associated with any approved product candidate;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 candidates together with other medications;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undergo required diagnostic screening to determine treatment eligibility and of physicians to prescribe these therapies and diagnostic tests;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our product candidates;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therapies for the same indications.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though FYARRO is approved for advanced malignant PEComa, it may never achieve an adequate level of acceptance by physicians, hospitals, healthcare payors and patients, and we may not generate or derive sufficient revenue from that product and our financial results could be negatively impacted. Before granting reimbursement approval, healthcare payors may require us to demonstrate that FYARRO or any other product candidates that we may develop in the future, in addition to treating target indications, also provide incremental health benefits to patients. Our efforts to educate the medical community and third-party payors about the benefits of FYARRO or any other product candidates that we may develop in the future may require significant resources and may never be successful.</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FYARRO and any other product candidates we may develop in the future, if approved, may be limited to certain smaller patient subsets.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Cancer therapies are sometimes characterized by line of therapy (first-line, second-line, third-line, etc.) and the FDA often approves new therapies initially only for a particular line or lines of use. When cancer is detected early enough, first-line therapy, such as chemotherapy, hormone therapy, surgery, radiation therapy or a combination of these, is sometimes adequate to cure the cancer or prolong life without a cure. FYARRO for advanced malignant PEComa has been approved as a first-line therapy. Second line therapies often consist of more chemotherapy, radiation, antibody drugs, tumor-targeted small molecules, or a combination of these. Third line therapies can include chemotherapy, antibody drugs and small molecule tumor- targeted therapies, more invasive forms of surgery and new technologies. Our completed and planned clinical trials for FYARRO are with patients who may have received one or more prior treatments. There is no guarantee that product candidates that we develop, even if approved, would be approved for first-line or second-line therapy and, prior to any such approvals, we may have to conduct additional clinical trials that may be costly, time-consuming and subject to risk.</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number of patients who have the cancers we are targeting may turn out to be lower than expected. Our projections of addressable patient populations that may benefit from treatment with our product or any future product candidates are based on our estimates, which may prove to be incorrect. Additionally, the potentially addressable patient population for FYARRO and any future product candidates may be limited or may not be amenable to treatment with such product. Regulatory approval may limit the market of a product candidate to target patient populations when such biomarker-driven identification and/or highly specific criteria related to the stage of disease progression are utilized. If any of our estimates prove to be inaccurate, the market opportunity for any product candidate that we develop could be significantly diminished and have an adverse material impact on our business.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 if we obtain significant market share for FYARRO or any future approved product, if the potential target populations are small, we may never achieve profitability without obtaining regulatory approval for additional indications.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FYARRO, or any product candidates we develop in the future for which we may obtain regulatory approval, may become subject to unfavorable third-party coverage and reimbursement practices, as well as pricing regulations.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FYARRO or any other product candidate we may develop in the future that receives regulatory approval will depend substantially, both in the United States and internationally, on the extent to which the costs of such product candidate will be covered and reimbursed by third-party payors. If reimbursement is not available, or is available only to limited levels, we may not be able to successfully commercialize FYARRO or any other product candidates that we may develop in the future. Even if coverage is provided, the approved reimbursement amount may not be high enough to allow us to establish or maintain pricing sufficient to realize an adequate return on our investment. Coverage and reimbursement may impact the demand for, or the price of, FYARRO or any other product candidate that we may develop in the future for which we obtain regulatory approval. If coverage and reimbursement are not available or reimbursement is available only to limited levels, we may not successfully commercialize FYARRO or any other product candidate that we may develop in the future for which we obtain regulatory approval.</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which would include FYARRO and any other product candidate we may develop in the future for which we may obtain regulatory approval. Market acceptance and sales of FYARRO or any other product candidates we may develop in the future for which we obtain regulatory approval will depend on reimbursement policies and may be affected by healthcare reform measures. Coverage and adequate reimbursement from governmental healthcare programs, such as Medicare and Medicaid in the United States, and commercial payors are critical to new product acceptance. Third-party payors decide which drugs they will pay for and establish reimbursement levels.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Factors that payors consider in determining reimbursement are based on whether the product is: (i) a covered benefit under the health plan; (ii) safe, effective and medically necessary; (iii) appropriate for the specific patient; (iv) cost-effective; and (v) neither experimental nor investigational.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We may need to conduct expensive pharmaco-economic studies to demonstrate the medical necessity and cost effectiveness of our products. As a result, FYARRO or any other product candidate we may develop in the future may not be considered medically necessary or cost effective. We cannot be sure that coverage and reimbursement will be available for FYARRO in additional indications, if approved, or any other product that we may commercialize and, if reimbursement is available, what the level of reimbursement will be.</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prescription drug pricing, review the relationship between pricing and manufacturer patient programs, and reform government program reimbursement methodologies for drug products. For example, under the American Rescue Plan Act of 2021 (the “American Rescue Plan”), the statutory cap on Medicaid Drug Rebate Program rebates that manufacturers pay to state Medicaid programs was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August 2022, Congress passed the Inflation Reduction Act of 2022 (the "Inflation Reduction Act"),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the Inflation Reduction Act are unconstitutional. The impact of these judicial challenges as well as future legislative, executive, and administrative actions and agency rules implemented by the Biden administration on us and the pharmaceutical industry as a whole is unclear. A number of states are considering or have recently enacted state drug price transparency and reporting laws that could substantially increase our compliance burdens and expose us to greater liability under such laws now that we have begun commercialization for FYARRO or, after obtaining regulatory approval, any of our other product candidates that we may develop in the future. The implementation of cost containment measures or other healthcare reforms may prevent us from being able to generate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attain profitability, or commercialize FYARRO or any other product candidates that we may develop in the future if approved. Complying with any new legislation and regulatory changes could be time-intensive and expensive, resulting in a material adverse effect on our business.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FYARRO or any other product candidates that we may develop in the future, if approved.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regulatory approval. To obtain favorable reimbursement or pricing approval in some countries, we may be required to conduct a clinical trial that compares the cost-effectiveness of FYARRO or any other product candidate that we may develop in the future, if approved,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FYARRO or any other product candidates that we may develop in the future, if approved. Accordingly, in markets outside the United States, the reimbursement for FYARRO or any other products that we may develop in the future and receive regulatory approval for may be unavailable or reduced compared with the United States and may be insufficient to generate commercially reasonable revenue and profits. If reimbursement is conditioned upon our completion of additional clinical trials, or if pricing is set at unsatisfactory levels, our operating results could be materially adversely affected.</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are unable to establish or sustain coverage and adequate reimbursement for FYARRO or any other product candidates that we may develop in the future, if approved, from third-party payors, the adoption of FYARRO or those other products if approved, the prices of FYARRO or those other products, if approved, and sales revenue from FYARRO or those other products if approved will be adversely affected, which, in turn, could adversely affect the ability to market or sell FYARRO or any other product candidates that we may develop in the future, if approved. Moreover, coverage policies and third-party payor reimbursement rates, including those of government payors, may change at any time and it is unclear what effect legislative, executive, and administrative actions and any future healthcare measures and agency rules will have on the number of covered individuals. Even if favorable coverage and reimbursement status is attained for FYARRO or one or more product candidates that we may develop in the future for which we receive regulatory approval, it is possible that less favorable coverage policies and reimbursement rates may be implemented in the future.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FDA approval of any future NDA for FYARRO or any other product candidates we may develop in the future.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export, import, marketing and distribution and other possible activities relating to FYARRO and any other product candidate that we may develop in the future are subject to extensive regulation in the United States. Prior to the approval of our NDA for FYARRO for advanced malignant PEComa, we had not submitted an application for approval or obtained FDA approval for any product.</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Approval of an NDA is not guaranteed. The approval process is expensive and uncertain and may take several years. The FDA and foreign regulatory entities also have substantial discretion in the approval process. The number and types of preclinical studies and clinical trials that will be required for approval varies depending on the product candidate, the disease or the condition that the product candidate is designed to target and the regulations applicable to any particular product candidate. Data are subject to varying interpretation and the FDA may not agree that our clinical data support that any of our product candidates are safe and effective for the proposed therapeutic use.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those goals and their impact on specific clinical programs and the industry are unclear. Despite the time and expense associated with preclinical studies and clinical trials, failure can occur at any stage, and we could encounter problems that require us to repeat or perform additional preclinical studies or clinical trials or generate additional chemistry, manufacturing and controls data, including drug product stability data. The FDA and similar foreign authorities could delay, limit or deny approval of a product candidate, and may ultimately approve the product for narrower indications or with unfavorable labeling that would impede our commercialization of the drug.</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Approval procedures vary among countries and can involve additional product testing and additional administrative review periods, including obtaining reimbursement and pricing approval in select markets. The time required to obtain approval in other countries might differ from that required to obtain FDA approval. The regulatory approval process in other countries may include all of the risks associated with FDA approval as well as additional, presently unanticipated, risks. Regulatory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approval in one country does not ensure regulatory approval in another, but a failure or delay in obtaining regulatory approval in one country may negatively impact the regulatory process in others, including the risk that our product candidates may not be approved for all indications requested and that such approval may be subject to limitations on the indicated uses for which the product may be marketed.</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FYARRO and any other product candidates that we may develop in the future, if approved, from being marketed abroad.</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in any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FYARRO and any other product candidates that we may develop in the future, if approved, in any market.</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marketing FYARRO and any other product candidates we may develop in the future, if approved, internationally could affect our business.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seek regulatory approval for FYARRO and any future product candidates outside of the United States and, accordingly, we expect that we will be subject to additional risks related to operating in foreign countries if we obtain the necessary approvals, including:</w:t>
      </w:r>
    </w:p>
    <w:p>
      <w:pPr>
        <w:spacing w:after="0" w:line="54" w:lineRule="exact"/>
        <w:rPr>
          <w:sz w:val="20"/>
          <w:szCs w:val="20"/>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differing regulatory requirements in foreign countries;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potential for so-called parallel importing, which is what happens when a local seller, faced with high or higher local prices, opts to import goods from a foreign market with low or lower prices rather than buying them locally;</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potential liability under the United States Foreign Corrupt Practices Act (</w:t>
      </w:r>
      <w:r>
        <w:rPr>
          <w:rFonts w:ascii="Times New Roman" w:cs="Times New Roman" w:eastAsia="Times New Roman" w:hAnsi="Times New Roman"/>
          <w:sz w:val="18"/>
          <w:szCs w:val="18"/>
          <w:color w:val="000000"/>
        </w:rPr>
        <w:t>“FCPA”)</w:t>
      </w:r>
      <w:r>
        <w:rPr>
          <w:rFonts w:ascii="Times New Roman" w:cs="Times New Roman" w:eastAsia="Times New Roman" w:hAnsi="Times New Roman"/>
          <w:sz w:val="18"/>
          <w:szCs w:val="18"/>
          <w:color w:val="231F20"/>
        </w:rPr>
        <w:t xml:space="preserve"> or comparable foreign regulations;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business interruptions resulting from geo-political actions, including war and terrorism.</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In addition, recent conflicts in Ukraine and the Middle East have led to, and could continue to lead to, disruption, instability and volatility in global markets and industries that could negatively impact our operations. The U.S. government and other governments in jurisdictions in which we may operate in the future have imposed severe sanctions and export controls against Russia and Russian interests and threatened additional sanctions and controls. The impact of these measures, as well as potential responses to them by Russia, is currently unknown and they could adversely affect our business, supply chain, business partners or customers.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These and other risks associated with our international operations may compromise our ability to achieve or maintain profitability.</w:t>
      </w:r>
    </w:p>
    <w:p>
      <w:pPr>
        <w:spacing w:after="0" w:line="1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preclinical studies and clinical trials for FYARRO or any other product candidates that we may develop in the future may not demonstrate safety and efficacy to the satisfaction of the FDA, EMA or other comparable foreign regulatory authorities or otherwise produce positive results, which would prevent, delay, or limit the scope of development, regulatory approval and commercialization.</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Before obtaining regulatory approval from the EMA or other foreign regulatory authorities for the sale of FYARRO for advanced malignant PEComa or any additional indications that we may seek approval for, or other product candidates that we may develop in the future, we, among other requirements, must complete preclinical development and extensive clinical trials to demonstrate with substantial evidence the safety and efficacy of such product or other product candidates. Each product or product candidate must demonstrate an adequate risk versus benefit profile in our intended patient population and for our intended use. Drug product must also be manufactured and tested in accordance with regional regulatory requirements which may differ from region to region. Clinical testing is expensive, difficult to design and implement, can take many years to complete and its ultimate outcome is inherently uncertain. A failure of one or more preclinical studies or clinical trials can occur at any stage of the process. The outcome of preclinical studies and early-stage clinical trials may not be predictive of the success of later clinical trials. In addition, initial success in clinical trials may not be indicative of results obtained when such trials are completed. Moreover, preclinical and clinical data are often susceptible to varying interpretations and analyses, and many companies in the biopharmaceutical industry that have believed their product candidates performed satisfactorily in preclinical studies and clinical trials have nonetheless failed to obtain regulatory approval of their products. Our current or future clinical trials may not ultimately be successful or support further clinical development of FYARRO or any other product candidates we may develop in the future.</w:t>
      </w:r>
    </w:p>
    <w:p>
      <w:pPr>
        <w:spacing w:after="0" w:line="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We may experience numerous unforeseen events during, or as a result of, clinical trials that could delay or prevent our ability to receive regulatory approval or our ability to commercialize FYARRO for additional indications or for any other product candidates we may develop in the future, including:</w:t>
      </w:r>
    </w:p>
    <w:p>
      <w:pPr>
        <w:spacing w:after="0" w:line="54" w:lineRule="exact"/>
        <w:rPr>
          <w:sz w:val="20"/>
          <w:szCs w:val="20"/>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receipt of feedback from regulatory authorities that require us to modify the design of our clinical trials;</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negative or inconclusive clinical trial results that may require us to conduct additional clinical trials or abandon certain drug development programs;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clinical trial sites or our CRO failing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suspension or termination of our clinical trials for various reasons, including non-compliance with regulatory requirements or a finding that our product candidates have undesirable side effects or other unexpected characteristics;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of clinical trials of our product candidates being greater than anticipated;</w:t>
      </w:r>
    </w:p>
    <w:p>
      <w:pPr>
        <w:spacing w:after="0" w:line="117" w:lineRule="exact"/>
        <w:rPr>
          <w:rFonts w:ascii="Times New Roman" w:cs="Times New Roman" w:eastAsia="Times New Roman" w:hAnsi="Times New Roman"/>
          <w:sz w:val="18"/>
          <w:szCs w:val="18"/>
          <w:color w:val="231F20"/>
        </w:rPr>
      </w:pPr>
    </w:p>
    <w:p>
      <w:pPr>
        <w:ind w:left="980" w:right="20" w:hanging="486"/>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supply or quality of our product candidates or other materials necessary to conduct clinical trials of our product candidates being insufficient or inadequate;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due to health epidemics, such as the COVID-19 pandemic, including starting any clinical trials for other indications or programs.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For instance, we do not know whether FYARRO will perform in current or future clinical trials for additional indications as it has performed in preclinical studies or prior clinical trials. Product candidates in later-stage clinical trials may fail to demonstrate sufficient safety and efficacy to the satisfaction of the FDA, EMA, and other comparable foreign regulatory authorities despite having progressed through preclinical studies and early-stage clinical trials. Additionally, while we are aware of several other approved and clinical-stage mTOR inhibitors being developed by multiple other companies, to our knowledge, there are no mTOR inhibitors approved specifically for the treatment of advanced malignant PEComa other than FYARRO. As such, the development of FYARRO and our stock price may be impacted by inferences, whether correct or not, that are drawn between the success of our product and those of other companies’ mTOR inhibitors. Regulatory authorities may also limit the scope of later-stage trials until we have demonstrated satisfactory safety and efficacy results, which could delay regulatory approval, limit the size of the patient population to which we may market our product candidates, or prevent regulatory approval.</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products in clinical trials may have received surgical, radiation and chemotherapy treatments and/or may be using other approved products or investigational new drugs, which can cause side effects or adverse events that are unrelated to our products.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We do not know whether any clinical trials we may conduct will demonstrate consistent or adequate efficacy and safety sufficient to obtain approval to market FYARRO for additional indications or for any other product candidates we may develop in the future. If we are required to conduct additional clinical trials or other testing of FYARRO in additional indications or any future product candidates beyond those that we currently contemplate, if we are unable to successfully complete clinical trials of FYARRO in additional indications or any future product candidates or other testing in a timely manner, if the results of these trials or tests are not positive or are only modestly positive or if there are safety concerns, we may (i) incur unplanned costs, (ii) be delayed in seeking and obtaining regulatory approval for respective indications, if we receive such approval at all, (iii) receive more limited or restrictive regulatory approval for respective indications, (iv) be subject to additional post-marketing testing requirements or (v) have the drug removed from the market after obtaining regulatory approval. Even if regulatory approval is secured for any of our product candidates, the terms of such approval may limit the scope and use FYARRO in additional indications or any future product candidates, which may also limit their commercial potential.</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FYARRO or any other product candidates that we may develop in the future may cause significant adverse events, toxicities or other undesirable side effects when used alone or in combination with other approved products or investigational new drugs that could delay or prevent regulatory approval, prevent market acceptance, limit their commercial potential or result in significant negative consequences.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If FYARRO or any other product candidates that we may develop in the future is associated with serious adverse events or other undesirable side effects or have unexpected characteristics in preclinical studies or clinical trials when used alone or in combination with other approved products or investigational new drugs, we may need to conduct additional studies to further evaluate their safety, interrupt, delay or abandon their development or halt clinical trials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a more restrictive label, delay or denial of regulatory approval or potential product liability claims. Any of these occurrences may prevent us from achieving or maintaining market acceptance of FYARRO or any affected future product candidate, could substantially increase the costs of commercializing our product(s), including FYARRO, and significantly impact our ability to successfully commercialize FYARRO or any other product candidates that we may develop in the future, if approved, and generate revenues, and may harm our business, financial condition and prospects significantly. For example, in our AMPECT trial of FYARRO, most treatment-related adverse events were mild or moderate, with the most commonly reported adverse events being anemia, edema, infections, mucositis, pain, nail changes, vomiting, thrombocytopenia, hypertension and nausea. Treatment-related adverse events in our other trials of FYARRO included thrombocytopenia, diarrhea, fatigue, mucosal inflammation, nausea, anemia, and rash. Additionally, in our first- in-human study of FYARRO in solid tumors, one patient died of dyspnea which was deemed possibly related to FYARRO.</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Patients in our completed and planned clinical trials may in the future suffer other significant adverse events or other side effects not observed or anticipated based on our preclinical studies or previous clinical trials. FYARRO or any future product candidates may be used in populations for which safety concerns may be particularly scrutinized by regulatory agencies. In addition, FYARRO is being studied in combination with other therapies, which may exacerbate adverse events associated with the therapy. Patients treated with FYARRO or our other product candidates that we may develop in the future may also be undergoing surgical, radiation and/or chemotherapy treatments, which can cause side effects or adverse events that are unrelated to FYARRO or any future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FYARRO clinical trials will die or experience major adverse clinical events either during the course of our clinical trials or after such trials, which has occurred in the past.</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institutional review board may suspend or terminate clinical research at any time for various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reasons, including noncompliance with regulatory requirements or a finding that the participants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Even if the side effects do not preclude the product candidate from obtaining or maintaining regulatory approval, undesirable side effects may inhibit market acceptance due to its tolerability versus other therapies. Any of these developments could materially harm our business, financial condition and prospects.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Further, for FYARRO for advanced malignant PEComa, or if FYARRO receives regulatory approval for any other indication, or if any other product candidate that we may develop in the future, if any, obtains regulatory approval, toxicities associated with such product candidates and not seen during clinical testing may also develop after such approval and lead to a requirement to (i) conduct additional clinical safety trials, (ii) add additional contraindications, warnings and precautions to the drug label, (iii) significantly restrict the use of the product, (iv) change </w:t>
      </w:r>
      <w:r>
        <w:rPr>
          <w:rFonts w:ascii="Times New Roman" w:cs="Times New Roman" w:eastAsia="Times New Roman" w:hAnsi="Times New Roman"/>
          <w:sz w:val="18"/>
          <w:szCs w:val="18"/>
          <w:color w:val="231F20"/>
        </w:rPr>
        <w:t>the way the product is distributed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or administered, (v) implement a risk evaluation and mitigation strategy, or create a medication guide outlining the risks of such side effects for distribution to patients, or (vi) suspend or withdraw the product from the market. We cannot predict whether FYARRO or any other product candidates that we may develop in the future will cause toxicities in humans that would preclude or lead to the revocation of regulatory approval based on preclinical studies or early-stage clinical trials.</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Results from early preclinical studies and clinical trials of FYARRO or other product candidates that we may develop in the future are not necessarily predictive of the results of later preclinical studies and clinical trials of FYARRO or such other product candidates. If we cannot replicate the results from our earlier preclinical studies and clinical trials in our later preclinical studies and clinical trials, we may be unable to successfully develop, obtain regulatory approval for and commercialize FYARRO in additional indications or any future product candidates.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Any results from early preclinical studies and clinical trials of FYARRO or other product candidates that we may develop in the future may not necessarily be predictive of the results from later preclinical studies and clinical trials. Similarly, even if we are able to complete our planned preclinical studies and clinical trials according to our current development timeline, the results from such preclinical studies and clinical trials may not be replicated in subsequent preclinical studies or clinical trial results.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EMA approval.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relating to open-label clinical trials.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Some of our ongoing, planned and future clinical trials may utilize an open-label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biases, including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 label trial may not be predictive of future clinical trial results with FYARRO or any future product candidates when studied in a controlled environment with a placebo or active control.</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Interim, topline and preliminary data from our clinical trials that we announce or publish from time to time may change as more patient data become available or as additional analyses are conducted and are subject to audit, independent radiographic or clinical review, and verification procedures that could result in material changes in the final data.</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From time to time, we may publicly disclose preliminary, interim or topline data from our clinical trials, such as our </w:t>
      </w:r>
      <w:r>
        <w:rPr>
          <w:rFonts w:ascii="Times New Roman" w:cs="Times New Roman" w:eastAsia="Times New Roman" w:hAnsi="Times New Roman"/>
          <w:sz w:val="18"/>
          <w:szCs w:val="18"/>
          <w:color w:val="000000"/>
        </w:rPr>
        <w:t>interim analysis on the first third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participants in the PRECISION1 trial, which was announced on December 14. 2023. See Part I, Item (Business) for more information regarding the PRECISION1 interim analysis</w:t>
      </w:r>
      <w:r>
        <w:rPr>
          <w:rFonts w:ascii="Times New Roman" w:cs="Times New Roman" w:eastAsia="Times New Roman" w:hAnsi="Times New Roman"/>
          <w:sz w:val="18"/>
          <w:szCs w:val="18"/>
          <w:color w:val="231F20"/>
        </w:rPr>
        <w:t>. Preliminary data is based on a preliminary analysis of then available data, and the results and related findings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conclusions are subject to change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independent radiographic or clinical review,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In addition, the information we choose to publicly disclose regarding a particular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FYARRO in other indications or any other product candidates that we may develop in the future may be harmed, which could harm our business, financial condition, results of operations and prospects.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Adverse results of clinical trials conducted by third parties investigating the same product candidates as us in different territories could adversely affect our development of such product candidate.</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Lack of efficacy, adverse events, undesirable side effects or other adverse results may emerge in clinical trials conducted by third parties investigating our approved product or the same product candidates as us in different territories for the same or different indications. For example, we may in the future enter into collaborations for the development and commercialization of FYARRO in certain foreign jurisdictions. As part of these collaborations, we may grant such collaboration partners with the right to develop and commercialize the same compounds licensed to us, including FYARRO, in such foreign jurisdictions. As a result, we may not have control over clinical trials or development programs of such third parties that we may collaborate with in the future, and any adverse findings or unexpected side effects from such third party’s conduct of clinical trials could adversely affect our development and commercialization of FYARRO or the viability of FYARRO as a product candidate. We may be required to report these adverse events or unexpected side effects to the FDA or comparable foreign regulatory authorities, which could, among other things, order us to cease commercial sales or further development of FYARRO.</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experience delays or difficulties in the enrollment and/or maintenance of patients in clinical trials, our regulatory submissions or receipt of necessary regulatory approvals could be delayed or prevented.</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 xml:space="preserve">We may not be able to initiate or continue clinical trials for FYARRO or any future product candidates if we are unable to locate and enroll a sufficient number of eligible patients to participate in these trials to such trial’s conclusion as required by the FDA, EMA or other comparable foreign regulatory authorities. Orphan indications, in particular, have small populations, and it may be difficult for us to locate and enroll sufficient patients in trials for orphan-designated indications. Patient enrollment is a significant factor in the timing of clinical trials. Our ability to identify and enroll eligible patients for clinical trials may be limited or may result in slower enrollment than we anticipate. For instance, patients for our trials for the </w:t>
      </w:r>
      <w:r>
        <w:rPr>
          <w:rFonts w:ascii="Times New Roman" w:cs="Times New Roman" w:eastAsia="Times New Roman" w:hAnsi="Times New Roman"/>
          <w:sz w:val="18"/>
          <w:szCs w:val="18"/>
          <w:i w:val="1"/>
          <w:iCs w:val="1"/>
          <w:color w:val="231F20"/>
        </w:rPr>
        <w:t>TSC1</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i w:val="1"/>
          <w:iCs w:val="1"/>
          <w:color w:val="231F20"/>
        </w:rPr>
        <w:t>TSC2</w:t>
      </w:r>
      <w:r>
        <w:rPr>
          <w:rFonts w:ascii="Times New Roman" w:cs="Times New Roman" w:eastAsia="Times New Roman" w:hAnsi="Times New Roman"/>
          <w:sz w:val="18"/>
          <w:szCs w:val="18"/>
          <w:color w:val="231F20"/>
        </w:rPr>
        <w:t xml:space="preserve"> study are screened using genomic information to identify alterations in the </w:t>
      </w:r>
      <w:r>
        <w:rPr>
          <w:rFonts w:ascii="Times New Roman" w:cs="Times New Roman" w:eastAsia="Times New Roman" w:hAnsi="Times New Roman"/>
          <w:sz w:val="18"/>
          <w:szCs w:val="18"/>
          <w:i w:val="1"/>
          <w:iCs w:val="1"/>
          <w:color w:val="231F20"/>
        </w:rPr>
        <w:t>TSC1</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i w:val="1"/>
          <w:iCs w:val="1"/>
          <w:color w:val="231F20"/>
        </w:rPr>
        <w:t>TSC2</w:t>
      </w:r>
      <w:r>
        <w:rPr>
          <w:rFonts w:ascii="Times New Roman" w:cs="Times New Roman" w:eastAsia="Times New Roman" w:hAnsi="Times New Roman"/>
          <w:sz w:val="18"/>
          <w:szCs w:val="18"/>
          <w:color w:val="231F20"/>
        </w:rPr>
        <w:t xml:space="preserve"> genes and utilizing such criteria and/or certain highly specific criteria related to the cancer sub-types may limit patient populations eligible for our clinical trials. In particular, because we are focused on patients with specific genetic alterations for certain of our development programs, our ability to enroll eligible patients may be limited or may result in slower enrollment than anticipated. For example, with respect to FYARRO, we cannot be certain how many patients will harbor the </w:t>
      </w:r>
      <w:r>
        <w:rPr>
          <w:rFonts w:ascii="Times New Roman" w:cs="Times New Roman" w:eastAsia="Times New Roman" w:hAnsi="Times New Roman"/>
          <w:sz w:val="18"/>
          <w:szCs w:val="18"/>
          <w:i w:val="1"/>
          <w:iCs w:val="1"/>
          <w:color w:val="231F20"/>
        </w:rPr>
        <w:t>TSC1</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i w:val="1"/>
          <w:iCs w:val="1"/>
          <w:color w:val="231F20"/>
        </w:rPr>
        <w:t>TSC2</w:t>
      </w:r>
      <w:r>
        <w:rPr>
          <w:rFonts w:ascii="Times New Roman" w:cs="Times New Roman" w:eastAsia="Times New Roman" w:hAnsi="Times New Roman"/>
          <w:sz w:val="18"/>
          <w:szCs w:val="18"/>
          <w:color w:val="231F20"/>
        </w:rPr>
        <w:t xml:space="preserve"> alterations that FYARRO is designed to target or that the number of patients enrolled for each alteration will suffice for regulatory approval and inclusion of each such alteration in the approved label. We may also engage third parties to develop companion diagnostics for use in our clinical trials, but such third parties may not be successful in developing such companion diagnostics, furthering the difficulty in identifying patients with the targeted genetic alterations for our clinical trials. If our strategies for patient identification prove unsuccessful, we may have difficulty enrolling or maintaining patients appropriate for FYARRO.</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Patient enrollment may be affected if our competitors have ongoing clinical trials for product candidates that are under development for the same indications as FYARRO or any future product candidates, and patients who would otherwise be eligible for our clinical trials instead enroll in clinical trials of our competitors’ product candidates.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Also, marketing authorization of competitors in this same class of drugs may impair our ability to enroll patients into our clinical trials, delaying or potentially preventing us from completing recruitment for one or more of our trials. Patient enrollment and retention for our current or any future clinical trials may be affected by other factors, including:</w:t>
      </w:r>
    </w:p>
    <w:p>
      <w:pPr>
        <w:spacing w:after="0" w:line="68" w:lineRule="exact"/>
        <w:rPr>
          <w:sz w:val="20"/>
          <w:szCs w:val="20"/>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size and nature of the patient population;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availability and efficacy of approved drugs for the disease under investigation;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patient eligibility criteria for the trial in question as defined in the protocol or as mandated by regulatory agencies;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clinicians’ and patients’ perceptions as to the potential advantages and side effects of the product candidate being studied in relation to other available therapies and product candidates, including any new products that may be approved or other product candidates being investigated for the indications we are investigating;</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ability to recruit clinical study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clinicians’ willingness to screen their patients for biomarkers to indicate which patients may be eligible for enrollment in our clinical trials;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patient referral practices of physicians;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ability to obtain and maintain patient consents;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proximity and availability of clinical trial sites for prospective patients; and</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factors we may not be able to control, such as current or potential pandemics that may limit patients, principal investigators or staff or clinical site availability (e.g., the COVID-19 pandemic).</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Our inability to enroll a sufficient number of patients for our clinical trials could result in significant delays or may require us to abandon one or more clinical trials altogether. Furthermore, any negative results we may report in clinical trials of FYARRO or any future product candidates may make it difficult or impossible to recruit and retain patients in other clinical trials we are conducting. Similarly, negative results reported by our competitors about their drug candidates may negatively affect patient recruitment in our clinical trials. Enrollment delays in our clinical trials may result in increased development costs for FYARRO and any other product candidates that we may develop in the future and jeopardize our ability to obtain regulatory approval for the sale of FYARRO in additional indications or any future product candidates. Furthermore, even if we are able to enroll a sufficient number of patients for our clinical trials, there is a risk that patients enrolled in clinical trials will drop out of the trials before completion or, because they may be late-stage cancer patients, will not survive the full terms of the clinical trials. As a result, we may have difficulty maintaining participation in our clinical trials through the treatment and any follow-up periods. In addition, we rely on clinical trial sites to ensure timely conduct of our clinical trials and, while we have entered into agreements governing their services, we are limited in our ability to compel their actual performance.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expect to develop FYARRO and potentially other product candidates in combination with other therapies, which exposes us to additional risks.</w:t>
      </w:r>
    </w:p>
    <w:p>
      <w:pPr>
        <w:spacing w:after="0" w:line="12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231F20"/>
        </w:rPr>
        <w:t>We intend to develop FYARRO and potentially other product candidates, in combination with one or more currently approved or unapproved therapies to treat cancer or other diseases. For example, in October 2022 we entered into a collaboration and supply agreement with Mirati to evaluate the combination of Mirati’s adagrasib (KRAZATI</w:t>
      </w:r>
      <w:r>
        <w:rPr>
          <w:rFonts w:ascii="Times New Roman" w:cs="Times New Roman" w:eastAsia="Times New Roman" w:hAnsi="Times New Roman"/>
          <w:sz w:val="23"/>
          <w:szCs w:val="23"/>
          <w:color w:val="000000"/>
          <w:vertAlign w:val="superscript"/>
        </w:rPr>
        <w:t>®</w:t>
      </w:r>
      <w:r>
        <w:rPr>
          <w:rFonts w:ascii="Times New Roman" w:cs="Times New Roman" w:eastAsia="Times New Roman" w:hAnsi="Times New Roman"/>
          <w:sz w:val="18"/>
          <w:szCs w:val="18"/>
          <w:color w:val="231F20"/>
        </w:rPr>
        <w:t>), a KRAS</w:t>
      </w:r>
      <w:r>
        <w:rPr>
          <w:rFonts w:ascii="Times New Roman" w:cs="Times New Roman" w:eastAsia="Times New Roman" w:hAnsi="Times New Roman"/>
          <w:sz w:val="23"/>
          <w:szCs w:val="23"/>
          <w:color w:val="231F20"/>
          <w:vertAlign w:val="superscript"/>
        </w:rPr>
        <w:t>G12C</w:t>
      </w:r>
      <w:r>
        <w:rPr>
          <w:rFonts w:ascii="Times New Roman" w:cs="Times New Roman" w:eastAsia="Times New Roman" w:hAnsi="Times New Roman"/>
          <w:sz w:val="18"/>
          <w:szCs w:val="18"/>
          <w:color w:val="231F20"/>
        </w:rPr>
        <w:t xml:space="preserve"> selective inhibitor, and FYARRO in KRAS</w:t>
      </w:r>
      <w:r>
        <w:rPr>
          <w:rFonts w:ascii="Times New Roman" w:cs="Times New Roman" w:eastAsia="Times New Roman" w:hAnsi="Times New Roman"/>
          <w:sz w:val="28"/>
          <w:szCs w:val="28"/>
          <w:color w:val="000000"/>
          <w:vertAlign w:val="superscript"/>
        </w:rPr>
        <w:t>G12C</w:t>
      </w:r>
      <w:r>
        <w:rPr>
          <w:rFonts w:ascii="Times New Roman" w:cs="Times New Roman" w:eastAsia="Times New Roman" w:hAnsi="Times New Roman"/>
          <w:sz w:val="18"/>
          <w:szCs w:val="18"/>
          <w:color w:val="231F20"/>
        </w:rPr>
        <w:t xml:space="preserve"> mutant NSCLC and other solid tumors. Patients may not be able to tolerate FYARRO or any of our future product candidates in combination with other therapies or dosing of FYARRO or any of our future product candidates in combination with other therapies may have unexpected consequences. Even though FYARRO has received FDA approval for advanced malignant PEComa, and even if FYARRO receives regulatory approval for additional indications, or if any of our product candidates that we develop in the future were to receive regulatory approval or be commercialized for use in combination with other existing therapies, we would continue to be subject to the risks that the FDA, EMA or other comparable foreign regulatory authorities could revoke approval of the therapy used in combination with such products, or safety, efficacy, manufacturing or supply issues could arise with</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these existing therapies. In addition, it is possible that existing therapies with which FYARRO or any future product candidates are approved for use could themselves fall out of favor or be relegated to later lines of treatment. This could result in the need to identify other combination therapies for FYARRO or any future product candidates, the FDA, EMA or comparable foreign regulatory authorities in other jurisdictions requiring additional clinical trials, or our own products being removed from the market or being less successful commercially.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We may also evaluate FYARRO or any future product candidates in combination with one or more other therapies that have not yet been approved for marketing by the FDA, EMA or comparable foreign regulatory authorities. We will not be able to market and sell FYARRO or any future product candidate in combination with any such unapproved therapies that do not ultimately obtain regulatory approval.</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If the FDA, EMA or other comparable foreign regulatory authorities do not approve or revoke their approval of these other therapies, or if safety, efficacy, commercial adoption, manufacturing or supply issues arise with the therapies we choose to evaluate in combination with FYARRO or any future product candidate, we may be unable to obtain approval of or successfully market FYARRO or any future product candidates we develop. These unapproved therapies face the same risks described with respect to product candidates currently in development, including serious adverse effects and delays in their clinical trials. In addition, other companies may also develop their products or product candidates in combination with the unapproved therapies with which we are developing FYARRO or any future product candidates for use in combination. Any setbacks in these companies’ clinical trials, including the emergence of serious adverse effects, may delay or prevent the development and approval of FYARRO in additional indications or any other product candidates that we may develop in the future.</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Additionally, if the third-party providers of therapies or therapies in development used in combination with FYARRO or any future product candidates are unable to produce sufficient quantities for clinical trials or for commercialization of FYARRO in additional indications or any future product candidates, if approved, or if the cost of combination therapies are prohibitive, our development and commercialization efforts would be impaired, which would have an adverse effect on our business, financial condition, results of operations and growth prospects.</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have limited resources and are currently focusing our efforts on developing and commercializing FYARRO for particular indications. As a result, we may fail to capitalize on other indications or product candidates that may ultimately prove to be more profitable or to have a greater likelihood of success.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We are currently focusing our resources and efforts on developing and commercializing FYARRO for particular indications. As a result, due to our limited financial and managerial resources, we may forgo or delay pursuit of opportunities for other indications or with other product candidates that may later prove to have greater commercial potential. Our resource allocation decisions may cause us to fail to capitalize on viable commercial drugs or profitable market opportunities. Failure to properly assess potential indications for FYARRO could result in our focus on particular indications for FYARRO with low market potential, which would harm our business, financial condition, results of operations and prospects. Our spending on current and future research and development activities for FYARRO and other programs may not yield any commercially viable drugs. If we do not accurately evaluate the completed clinical trial data, likelihood of future clinical trial success, commercial potential or target markets for FYARRO or any of our other product candidates that we may develop in the future, we may relinquish valuable rights to FYARRO or any future product candidate or program through collaboration, licensing or other strategic or royalty arrangements in cases in which we would have been more advantageous for us to retain sole development and commercialization rights to such product candidate or program.</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FYARRO for advanced malignant PEComa or for any additional indications we may seek approval for, and for any other product candidates that we may develop in the future, if approved.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FYARRO or any future product candidates. In addition, FYARRO or any future product candidates may need to compete with drugs that physicians currently use to treat the indications for which we seek approval. This may make it difficult for us to replace existing therapies with our products.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government agencies, universities and other research institutions. We also compete with these organizations to recruit and retain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 xml:space="preserve">Other than FYARRO, we are not aware of any FDA or EMA approved products indicated specifically for the treatment of advanced malignant PEComa. Patients with malignant PEComa commonly receive chemotherapy regimens and currently mTOR inhibitors including sirolimus, everolimus, and temsirolimus are recommended in the National Comprehensive Cancer Network (the “NCCN”) guidelines for treatment of malignant PEComa based on published retrospective data. Following FDA approval, FYARRO was added to the NCCN guidelines as the only preferred regimen for treatment of malignant PEComa. For </w:t>
      </w:r>
      <w:r>
        <w:rPr>
          <w:rFonts w:ascii="Times New Roman" w:cs="Times New Roman" w:eastAsia="Times New Roman" w:hAnsi="Times New Roman"/>
          <w:sz w:val="18"/>
          <w:szCs w:val="18"/>
          <w:i w:val="1"/>
          <w:iCs w:val="1"/>
          <w:color w:val="231F20"/>
        </w:rPr>
        <w:t>TSC1</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i w:val="1"/>
          <w:iCs w:val="1"/>
          <w:color w:val="231F20"/>
        </w:rPr>
        <w:t>TSC2</w:t>
      </w:r>
      <w:r>
        <w:rPr>
          <w:rFonts w:ascii="Times New Roman" w:cs="Times New Roman" w:eastAsia="Times New Roman" w:hAnsi="Times New Roman"/>
          <w:sz w:val="18"/>
          <w:szCs w:val="18"/>
          <w:color w:val="231F20"/>
        </w:rPr>
        <w:t xml:space="preserve"> inactivating alterations, there are no existing FDA or EMA approved products indicated for such use. If FYARRO receives additional regulatory approval for these </w:t>
      </w:r>
      <w:r>
        <w:rPr>
          <w:rFonts w:ascii="Times New Roman" w:cs="Times New Roman" w:eastAsia="Times New Roman" w:hAnsi="Times New Roman"/>
          <w:sz w:val="18"/>
          <w:szCs w:val="18"/>
          <w:i w:val="1"/>
          <w:iCs w:val="1"/>
          <w:color w:val="231F20"/>
        </w:rPr>
        <w:t>TSC1</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i w:val="1"/>
          <w:iCs w:val="1"/>
          <w:color w:val="231F20"/>
        </w:rPr>
        <w:t>TSC2</w:t>
      </w:r>
      <w:r>
        <w:rPr>
          <w:rFonts w:ascii="Times New Roman" w:cs="Times New Roman" w:eastAsia="Times New Roman" w:hAnsi="Times New Roman"/>
          <w:sz w:val="18"/>
          <w:szCs w:val="18"/>
          <w:color w:val="231F20"/>
        </w:rPr>
        <w:t xml:space="preserve"> indications, it may face competition from other drug candidates in clinical trials that target the mTOR pathway. These may include dual mTORC1/2 inhibitors in clinical trials or next generation mTOR inhibitors in development. Any potential competitors may have significantly greater financial, manufacturing, marketing, drug development, technical and human resources, and commercial expertise than us.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the field before us.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Our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any products that we may develop and commercialize. Our competitors also may obtain regulatory approval from the FDA, EMA or other comparable foreign regulatory authorities for their products more rapidly than we may obtain approval for our products, which could result in our competitors establishing a strong market position before we are able to enter the market. Our approved product, or product candidates we may develop in the future which achieve regulatory approval,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FYARRO or any product candidates we may develop in the future, if approved, could be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Changes in methods of product candidate manufacturing or formulation may result in additional costs or delay.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As product candidates progress through preclinical studies and clinical trials to regulatory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alternative formulations or dosage forms of FYARRO in additional clinical trials for other indications. Such material changes will require regulatory approval before implementation and carry the risk that they will not achieve these intended objectives. Any of these changes could cause FYARRO and any other product candidate that we may develop in the future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FYARRO or any other product candidates that we may develop in the future, if approved, and generate revenue.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successful in growing our product pipeline through acquisitions and in-licenses.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We believe that accessing external innovation and expertise is important to our success; and while we plan to leverage our leadership team’s prior business development experience as we evaluate potential in-licensing and acquisition opportunities to further expand our portfolio,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may also be unable to license or acquire third-party 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spacing w:after="0" w:line="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business entails a significant risk of product liability and if we are unable to obtain sufficient insurance coverage such inability could have a material adverse effect on our business and financial condition.</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Our business exposes us to significant product liability risks inherent in the development, testing, manufacturing and marketing of therapeutic treatments. Product liability claims might be brought against us by patients, healthcare providers, or others selling or otherwise coming into contact with FYARRO or any other product candidates that we may develop in the future. For example, we may be sued if FYARRO or any other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become subject to product liability claims and cannot successfully defend against them, we could incur substantial liabilities. Product liability claims could delay or prevent completion of our development programs. If we succeed in marketing products, such claims could result in an FDA, EMA or other regulatory authority investigation of the safety and effectiveness of our products, our (or third-party)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Although we have obtained product liability insurance coverage, our insurance coverage may not provide sufficient coverage against potential liabilities. Furthermore, clinical trial and product liability insurance is becoming increasingly expensive. As a result, we may be unable to obtain or maintain sufficient insurance at a reasonable cost to protect us against losses caused by product liability claims that could have an adverse effect on our business and financial condition.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also cause our stock price to decline.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Regulatory Approval and Other Legal Compliance Matters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If the FDA does not conclude that a product candidate and/or new indications satisfy the requirements under the 505(b)(2) regulatory pathway, or if the requirements for such product candidate and/or new indications under Section 505(b)(2) are not as we expect, the approval pathway for such product candidates and/or new indications may take longer, cost more or entail greater complications and risks than anticipated, which may delay or prevent the approval of a product candidate and/or new indications for commercial use.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We submitted a Section 505(b)(2) NDA to the FDA in May 2021 for FYARRO for the treatment of advanced malignant PEComa, and the FDA approved the NDA on November 22, 2021. We may not be successful in obtaining FDA approval under 505(b)(2) regulatory pathway for other indications or product candidates that we may develop.</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Section 505(b)(2) of the Federal Food, Drug, and Cosmetic Act (the “FDCA”) was enacted as part of the Drug Price Competition and Patent Term Restoration Act of 1984 (the “Hatch-Waxman Amendments”) and permits the submission of an NDA where at least some of the information required for approval comes from preclinical studies or clinical trials not conducted by or for the applicant and for which the applicant has not obtained a right of reference. The FDA interprets Section 505(b)(2) of the FDCA to permit the applicant to rely upon the FDA’s previous findings of safety and efficacy for an approved product. The FDA requires submission of information needed to support any changes to a previously approved drug, such as published data or new studies conducted by the applicant or clinical trials demonstrating safety and efficacy. The FDA is not required to meet the PDUFA goal date, and the FDA could require additional information to sufficiently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demonstrate safety and efficacy to support approval. Moreover, even if any new indication or product candidate is approved under the Section 505(b)(2) regulatory pathway, the approval may be subject to limitations on the indicated uses for which we may be marketed or to other conditions of approval, or may contain requirements for costly post-marketing testing and surveillance to monitor the safety or efficacy of the product.</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be unable to obtain United States approval for FYARRO for additional indications or other product candidates that we may develop in the future or foreign regulatory approval for FYARRO or other product candidates that we may develop in the future and, as a result, may be unable to commercialize FYARRO in additional indications or any future product candidates and in such event our business will be substantially harmed.</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FYARRO and the other product candidates that we may develop in the future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The time required to obtain approvals from the FDA and other regulatory authorities is unpredictable and requires successful completion of extensive clinical trials which typically takes many years, depending upon numerous factors, including the type, complexity and novelty of the product candidate. The standards that the FDA and our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 Regulatory authorities have substantial discretion in the approval process and may refuse to accept any application or may decide that our data are insufficient for approval and require additional preclinical, clinical or other studies. It is possible that none of our existing product candidates or any product candidates we may seek to develop in the future will ever obtain regulatory approval.</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Disruptions at the FDA and other agencies, such as previous delays or disruptions due to the COVID-19 pandemic, travel restrictions, and staffing shortages, may also slow the time necessary for new product candidates to be reviewed and/or approved by necessary government agencies, which would adversely affect our business. In response to the COVID-19 pandemic, after foreign and domestic inspections of facilities were largely placed on hold, the FDA has been working to resume routine surveillance, bioresearch monitoring and pre-approval inspections on a prioritized basis. In 2020 and 2021, a number of companies announced receipt of complete response letters due to the FDA’s inability to complete required inspections for their applications.</w:t>
      </w:r>
    </w:p>
    <w:p>
      <w:pPr>
        <w:spacing w:after="0" w:line="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While the FDA has largely caught up with domestic preapproval inspections, it continues to work through its backlog of foreign inspections. However, the FDA may not be able to continue its current pace and approval timelines could be extended, including where a pre-approval inspection or an inspection of clinical sites is required.</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regulatory approval processes of the FDA, EMA and other comparable foreign regulatory authorities are lengthy, time consuming and inherently unpredictable. If we are ultimately unable to obtain regulatory approval for FYARRO</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for additional indications or other product candidates that we may develop, we will be unable to generate product revenue, and our business will be substantially harmed.</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Even though FYARRO has been approved by the FDA for the treatment of advanced malignant PEComa, and even if we eventually complete clinical testing and receive approval for FYARRO in additional indications or for any other product candidates that we may develop in the future,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Other than FYARRO, we have not obtained regulatory approval for any product candidate, and it is possible that none of our additional product candidates will ever obtain regulatory approval.</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Further, regulatory approval may be delayed for reasons beyond our control. For example, a United States federal government shutdown or budget sequestration, such as ones that occurred during 2013, 2018 and 2019, or the diversion of resources to handle the COVID-19 public health emergency and pandemic may result in significant reductions to the FDA’s budget, employees and operations, which may lead to slower response times and longer review periods, potentially affecting our ability to obtain regulatory approval for our product candidates. In addition, the impact of COVID-19 may cause the FDA to allocate additional resources to product candidates focused on treating related illnesses, which could lead to longer approval processes for our product candidates. Finally, our competitors may file citizens’ petitions with the FDA in an attempt to persuade the FDA that our product candidates, or the clinical trials that support their approval, contain deficiencies. Such actions by our competitors could delay or even prevent the FDA from approving any of our NDAs.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Applications for any future product candidates could fail to receive regulatory approval for many reasons, including the following:</w:t>
      </w:r>
    </w:p>
    <w:p>
      <w:pPr>
        <w:spacing w:after="0" w:line="117" w:lineRule="exact"/>
        <w:rPr>
          <w:sz w:val="20"/>
          <w:szCs w:val="20"/>
          <w:color w:val="auto"/>
        </w:rPr>
      </w:pPr>
    </w:p>
    <w:p>
      <w:pPr>
        <w:ind w:left="980" w:right="2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FDA, EMA or other comparable foreign regulatory authorities may disagree with the design, implementation or results of our clinical trials;</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FDA, EMA or other comparable foreign regulatory authorities may determine that our product candidates are not safe or effective, are only moderately effective or have undesirable or unintended side effects, toxicities or other characteristics that preclude us from obtaining regulatory approval or prevent or limit commercial use;</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population studied in the clinical trial may not be sufficiently broad or representative to assure efficacy and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FDA, EMA or other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be unable to demonstrate to the FDA, EMA or other comparable foreign regulatory authorities that our product candidate’s risk-benefit ratio for our proposed indication is acceptable;</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FDA, EMA or other comparable foreign regulatory authorities may find deficiencies with or fail to approve the manufacturing processes, test procedures and specifications or facilities of third-party manufacturers with which we contract for clinical and commercial supplies;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FDA, EMA or other comparable regulatory authorities may fail to approve companion diagnostic tests for our product candidates, if required; and</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This lengthy approval process, as well as the unpredictability of the results of clinical trials, may result in us failing to obtain regulatory approval to market any of our product candidates, which would significantly harm our business, results of operations and prospects.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FDA, EMA and other comparable foreign regulatory authorities may not accept data from trials conducted in locations outside of their jurisdiction.</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Our clinical trials have been and may in the future be undertaken in the United States. We may choose to conduct additional clinical trials internationally as well. For example, we are currently conducting our PRECISION1 trial of FYARRO in the United States, but we may conduct the trial in other countries in the future.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regulatory approval in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relating to regulatory uncertainty in foreign jurisdictions.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Brexit and uncertainty in the regulatory framework as well as future legislation in the United Kingdom, European Union,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European Union and/or the United Kingdom and increase our costs. We cannot predict the impact of such changes and future regulation on our business or the results of our operations.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Obtaining and maintaining regulatory approval of our product candidates in one jurisdiction does not guarantee that we will be able to obtain or maintain regulatory approval in any other jurisdiction. For example, even if the FDA or EMA grants regulatory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The regulatory approval processes in other countries may implicate all of the risks detailed above regarding FDA approval in the United States, as well as other risks.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regulatory approvals, our target market will be reduced and our ability to realize the full market potential of a product candidate will be harmed.</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 xml:space="preserve">Following Brexit, to the extent we conduct any operations in the United Kingdom, we will be subject to applicable regulatory requirements in the United Kingdom. Although the United Kingdom is no longer a member of the European Union, European Union law remains applicable in Northern Ireland, </w:t>
      </w:r>
      <w:r>
        <w:rPr>
          <w:rFonts w:ascii="Times New Roman" w:cs="Times New Roman" w:eastAsia="Times New Roman" w:hAnsi="Times New Roman"/>
          <w:sz w:val="18"/>
          <w:szCs w:val="18"/>
          <w:color w:val="000000"/>
        </w:rPr>
        <w:t>as set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forth in the Protocol on Ireland and Northern Ireland and as amended by the Windsor Framework, which will be implemented in Northern Ireland on January 1, 2025</w:t>
      </w:r>
      <w:r>
        <w:rPr>
          <w:rFonts w:ascii="Times New Roman" w:cs="Times New Roman" w:eastAsia="Times New Roman" w:hAnsi="Times New Roman"/>
          <w:sz w:val="18"/>
          <w:szCs w:val="18"/>
          <w:color w:val="231F20"/>
        </w:rPr>
        <w:t>. There are a number of new marketing authorization routes available in the United Kingdom, Great Britain (England, Scotland and Wales)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or Northern Ireland, in addition to the national procedure. As with the European Union position, a company can only start to market a medicine in the United Kingdom once it has received a marketing authorization. The main legislation that applies to clinical trials in the United Kingdom is the UK Medicines for Human Use (Clinical Trials) Regulations 2004, which transposes the Clinical Trials Directive into domestic law. Consequently, the requirements and obligations that relate to the conduct of clinical trials in the United Kingdom currently remain largely aligned with the European Union position. It is unclear how future regulatory regime in the United Kingdom will impact regulations of products, manufacturers, and approval of product candidates in the United Kingdom. In the immediately foreseeable future,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the United Kingdom regulatory approval process is likely to remain similar to that applicable in the European Union, albeit that the processes for applications will be separate. Longer term, the United Kingdom is likely to develop its own legislation that diverges from that in the European Union.</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FYARRO is, and any other product candidate we may develop in the future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FYARRO, or any other product candidate we may develop in the future when and if any of them are approved.</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FYARRO is, and any other product candidate we may develop in the future for which we obtain marketing approval could be, subject to a comprehensive regulatory scheme, which includes the regulation of manufacturing processes, post-approval clinical data, labeling, advertising, marketing, distribution and promotional activities for such product, by the FDA and other regulatory authorities. The FDA has significant post-marketing authority, including, for example, the authority to require labeling changes based on new safety information and to require post-marketing studies or clinical trials to evaluate serious safety risks related to the use of a drug. For example, the FDA may require the submission of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Any REMS required by the FDA may lead to increased costs to assure compliance with new post-approval regulatory requirements and potential requirements or restrictions on the sale of approved products, all of which could lead to lower sales volume and revenue.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good laboratory practices (“GLPs”) and good clinical practices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Accordingly, we and others with whom we work must continue to expend time, money, and effort in all areas of regulatory compliance, including manufacturing, production, and quality control.</w:t>
      </w:r>
    </w:p>
    <w:p>
      <w:pPr>
        <w:spacing w:after="0" w:line="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FYARRO is, and if marketing approval of any other product candidate we may develop in the future is granted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As a condition of the approval of the NDA for FYARRO, we are required to conduct certain post-marketing requirements (“PMR”) and/or post-marketing commitments (“PMC”). If we fail to comply with the PMR and/or PMC, the FDA may take enforcement actions, which may include, among other things, the issuance of a Warning Letter and assessing civil monetary penalties. The product may also be deemed misbranded.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FYARRO does, and if any other product candidate that we may develop in the future receives marketing approval they may, have a label that limits their approved uses, including more limited subject populations, than we request, and regulatory authorities may require that contraindications, warnings or precautions be included in the product labeling, including a boxed warning, or may approve a product candidate with a label that does not include the labeling claims necessary or desirable for the successful commercialization of that product candidate, which could limit sales of the product.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the product. The FDA closely regulates the post-approval marketing and promotion of products to ensure products are marketed only for the approved indications and in accordance with the provisions of the approved labeling. The FDA imposes stringent restrictions on manufacturers’ communications regarding off-label use and if we do not market our prodrug products, if any, for their approved indications, we may be subject to enforcement action for off-label marketing. Violations of the Federal Food, Drug and Cosmetic Act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We will be required to report certain adverse reactions and production problems, if any, to the FDA and comparable foreign regulatory authorities.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Any new legislation addressing drug safety issues could result in delays in product development or commercialization, or increased costs to assure compliance. In addition, failure to comply with FDA, EMA and other comparable foreign regulatory requirements may have negative consequences, including:</w:t>
      </w:r>
    </w:p>
    <w:p>
      <w:pPr>
        <w:spacing w:after="0" w:line="79" w:lineRule="exact"/>
        <w:rPr>
          <w:sz w:val="20"/>
          <w:szCs w:val="20"/>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adverse inspection findings;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additional warnings or otherwise restrict the product’s indicated use, label, or marketing;</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restrictions on our FYARRO products, distribution, manufacturers or manufacturing processes;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issuance of warning letters, safety alerts, dear-healthcare-provider letters, press releases or other communications containing warnings regarding the product that would result in adverse publicity;</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voluntary or mandatory product recalls and publicity requirements or withdrawal of FYARRO from the market;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suspension or withdrawal of marketing or regulatory approvals or other permits or voluntary;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product seizures, detentions or import bans;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total or partial suspension of production;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imposition of restrictions on operations, including costly new manufacturing requirements;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requirement to establish or modify a REMS;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requirement to conduct post-marketing studies or surveillance;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restrictions on drug distribution or use;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refusal to approve pending applications or supplements to approved applications that we submit and other delays;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in or the rejection of approvals of additional indications for FYARRO;</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restrictions on our ability to conduct clinical trials, including full or partial clinical holds on, or the suspension or termination of, ongoing or planned trials;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fines, restitution or disgorgement of profits or revenue;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reputational harm;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refusal of government contracts or future orders under existing contracts, exclusion from participation in federal health care programs; or</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injunctions or the imposition of civil or criminal penalties, including False Claims Act liability.</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holder of an approved NDA or comparable regulatory approval must submit new or supplemental applications and obtain approval for certain changes to the approved product, product labeling, or manufacturing process and the FDA or comparable foreign regulatory authority may refuse to approve pending applications or supplements to approved applications filed by us.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occurrence of any event or penalty described above may inhibit our ability to commercialize FYARRO and any other product candidates that we may develop in the future, if approved, and generate revenue. If regulatory sanctions are applied or if regulatory approval is withdrawn, the value of the company and our operating results will be adversely affected.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FDA and other regulatory agencies actively enforce the laws and regulations prohibiting the promotion of off-label uses.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If we are found to have improperly promoted off-label uses of FYARRO or any other product candidate that we may develop in the future, if approved, we may become subject to significant liability. The FDA and other regulatory agencies, including the U.S. Department of Justice, strictly regulate the post-approval marketing and promotional claims that may be made about prescription products, such as for FYARRO. In particular, a product may not be promoted for uses that are not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approved by the FDA or such other regulatory agencies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As such, we may not promote our products for indications or uses for which they do not have approval. For example, physicians may, in their practice of medicine, use drug products for their patients in a manner that is inconsistent with the approved label. If we, or any of our contractors or agents acting on behalf of us, are found to have promoted such off-label uses, we may become subject to significant liability. The United States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FYARRO and any other product candidate that we may develop in the future, if approved, we could become subject to significant liability, which would materially adversely affect our business and financial condition.</w:t>
      </w:r>
    </w:p>
    <w:p>
      <w:pPr>
        <w:spacing w:after="0" w:line="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If we are required by the FDA to obtain approval of a companion diagnostic product in connection with approval of any future product candidates or new indication that we may develop, and if we fail to obtain or face delays in obtaining FDA approval of such companion diagnostic product, we will not be able to commercialize such product candidate intended for use with such companion diagnostic product and our ability to generate revenue from such product candidate will be materially impaired.</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In connection with the development of any future product candidates or new indications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any future product candidates or new indication we may develop. To be successful in developing and commercializing such product candidate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future product candidate or new indication that we may develop, whether before or concurrently with approval of such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such product candidate. Further, in April 2020, the FDA issued new guidance on developing and labeling companion diagnostics for a specific group of oncology therapeutic products, including recommendations to support a broader labeling clai</w:t>
      </w:r>
      <w:r>
        <w:rPr>
          <w:rFonts w:ascii="Times New Roman" w:cs="Times New Roman" w:eastAsia="Times New Roman" w:hAnsi="Times New Roman"/>
          <w:sz w:val="18"/>
          <w:szCs w:val="18"/>
          <w:color w:val="000000"/>
        </w:rPr>
        <w:t>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rather than individual therapeutic products. We will continue to evaluate the impact of this guidance on our companion diagnostic development and strategy. In June 2023, FDA announced a new voluntary pilot program through which drug manufacturers can provide to the FDA the diagnostic test performance information used to enroll patients into clinical trials for drug approval. Based on assessment of the performance information, the FDA will publish the minimum performance characteristics recommended for similar tests that may be used to select patients for treatment with the approved drug to help laboratories identify specific biomarkers for their development of laboratory-developed tests, or LDTs, and to ensure more consistent performance of these tests for drug selection and improved cancer patient care. In October 2023, the FDA published a proposed rule that proposes to phase out its enforcement discretion for most LDTs and to amend the FDA’s regulations to make explicit that in vitro diagnostics are medical devices under the Federal Food, Drug, and Cosmetic Act, including when the manufacturer of the diagnostic product is a laboratory. If we or our collaborators develop any LDTs, such products would be subject to FDA regulation as medical devices, and we would need to invest significant time and resources to ensure ongoing compliance with FDA quality system regulations and other post-market regulatory requirements. In January 2024, FDA announced its plans to reclassify certain high-risk in vitro diagnostics, including companion diagnostics, as Class II (or moderate risk) devices. We will continue to evaluate the impact of</w:t>
      </w:r>
    </w:p>
    <w:p>
      <w:pPr>
        <w:spacing w:after="0" w:line="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FDA guidance and other developments in the diagnostic space. </w:t>
      </w:r>
      <w:r>
        <w:rPr>
          <w:rFonts w:ascii="Times New Roman" w:cs="Times New Roman" w:eastAsia="Times New Roman" w:hAnsi="Times New Roman"/>
          <w:sz w:val="18"/>
          <w:szCs w:val="18"/>
          <w:color w:val="231F20"/>
        </w:rPr>
        <w:t>This guidance and future issuances from the FDA and other regulatory authorities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impact our development of a companion diagnostic for our product candidates and result in delays in regulatory approval. We may be required to conduct additional studies to support a broader claim. Also,</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including issues with achieving regulatory clearance or approval, production of sufficient quantities at commercial scale and with appropriate quality standards, and in gaining market acceptance. If we are unable to successfully develop companion diagnostics for any future product candidate or new indication, or experience delays in doing so, the development of such product candidate may be adversely affected, the product candidate may not obtain marketing approval, and we may not realize the full commercial potential of such product candidate after obtaining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any such future product candidate or our relationship with such diagnostic company may otherwise terminate. We may not be able to enter into arrangements with another diagnostic company to obtain supplies of an alternative diagnostic test for use in connection with the development and commercialization of any such future product or new indication. or do so on commercially reasonable terms, which could adversely affect and/or delay the development or commercialization of any such future product candidate we may develop.</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A Fast Track or Breakthrough Therapy designation for FYARRO may not lead to a faster development or review process, or we may be unable to maintain or effectively utilize such a designation. We may also seek additional Fast Track designations from the FDA for FYARRO or any of our other product candidates. Even if one or more of our product candidates receive Fast Track designation, we may be unable to obtain or maintain the benefits associated with the Fast Track designation.</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 xml:space="preserve">In March 2022 and October 2018, we announced that the FDA granted Fast Track designation for FYARRO for the investigation of the treatment of adult and adolescent patients with malignant solid tumors harboring </w:t>
      </w:r>
      <w:r>
        <w:rPr>
          <w:rFonts w:ascii="Times New Roman" w:cs="Times New Roman" w:eastAsia="Times New Roman" w:hAnsi="Times New Roman"/>
          <w:sz w:val="18"/>
          <w:szCs w:val="18"/>
          <w:i w:val="1"/>
          <w:iCs w:val="1"/>
          <w:color w:val="231F20"/>
        </w:rPr>
        <w:t>TSC1</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i w:val="1"/>
          <w:iCs w:val="1"/>
          <w:color w:val="231F20"/>
        </w:rPr>
        <w:t>TSC2</w:t>
      </w:r>
      <w:r>
        <w:rPr>
          <w:rFonts w:ascii="Times New Roman" w:cs="Times New Roman" w:eastAsia="Times New Roman" w:hAnsi="Times New Roman"/>
          <w:sz w:val="18"/>
          <w:szCs w:val="18"/>
          <w:color w:val="231F20"/>
        </w:rPr>
        <w:t xml:space="preserve"> alterations and of patients with advanced malignant PEComa, respectively. While the FDA granted us Priority Review of our NDA for FYARRO in patients with advanced malignant PEComa, there is no guarantee that this Fast Track designation for the </w:t>
      </w:r>
      <w:r>
        <w:rPr>
          <w:rFonts w:ascii="Times New Roman" w:cs="Times New Roman" w:eastAsia="Times New Roman" w:hAnsi="Times New Roman"/>
          <w:sz w:val="18"/>
          <w:szCs w:val="18"/>
          <w:i w:val="1"/>
          <w:iCs w:val="1"/>
          <w:color w:val="231F20"/>
        </w:rPr>
        <w:t>TSC1</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i w:val="1"/>
          <w:iCs w:val="1"/>
          <w:color w:val="231F20"/>
        </w:rPr>
        <w:t>TSC2</w:t>
      </w:r>
      <w:r>
        <w:rPr>
          <w:rFonts w:ascii="Times New Roman" w:cs="Times New Roman" w:eastAsia="Times New Roman" w:hAnsi="Times New Roman"/>
          <w:sz w:val="18"/>
          <w:szCs w:val="18"/>
          <w:color w:val="231F20"/>
        </w:rPr>
        <w:t xml:space="preserve"> alterations will qualify for or that we will be able to take advantage of the expedited review procedures or that we will ultimately obtain regulatory approval of FYARRO in other indications. Even though we received this Fast Track designation in the past, we may not experience a faster development process, review or approval compared to conventional FDA procedures for other indications for FYARRO. We may also seek Fast Track designation for additional cancer indications or other diseases, and we may not be successful in securing such additional designation or in expediting development if such designations were received. Even if we receive Fast Track designation for additional cancer indications, the FDA may withdraw such Fast Track designation if it believes that the Fast Track designation is no longer supported by data from our clinical development program.</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 xml:space="preserve">Fast Track designation is designed to facilitate the development and expedite the review of therapies intended for the treatment of a serious or life-threatening condition which demonstrate the potential to address unmet medical needs for the condition.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FYARRO for the investigation for the treatment of patients with malignant solid tumors harboring </w:t>
      </w:r>
      <w:r>
        <w:rPr>
          <w:rFonts w:ascii="Times New Roman" w:cs="Times New Roman" w:eastAsia="Times New Roman" w:hAnsi="Times New Roman"/>
          <w:sz w:val="18"/>
          <w:szCs w:val="18"/>
          <w:i w:val="1"/>
          <w:iCs w:val="1"/>
          <w:color w:val="231F20"/>
        </w:rPr>
        <w:t>TSC1</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i w:val="1"/>
          <w:iCs w:val="1"/>
          <w:color w:val="231F20"/>
        </w:rPr>
        <w:t>TSC2</w:t>
      </w:r>
      <w:r>
        <w:rPr>
          <w:rFonts w:ascii="Times New Roman" w:cs="Times New Roman" w:eastAsia="Times New Roman" w:hAnsi="Times New Roman"/>
          <w:sz w:val="18"/>
          <w:szCs w:val="18"/>
          <w:color w:val="231F20"/>
        </w:rPr>
        <w:t xml:space="preserve"> alterations, or FYARRO for any other indication or any other product candidates that we may develop in the future that receives Fast Track designation,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The FDA may withdraw any Fast Track Designation at any time. Furthermore, Fast Track designation does not change the standards for approval. Fast Track designation alone does not guarantee qualification for the FDA’s priority review procedures and we may not experience a faster development process, review or approval compared to conventional FDA procedures.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In December 2018, we announced that the FDA granted Breakthrough Therapy designation for FYARRO for the treatment of patients with advanced malignant PEComa. We may also seek a Breakthrough Therapy designation for FYARRO for various cancer indications or other diseases. Breakthrough Therapy designation is for a product candidate that is intended, alone or in combination with one or more other drugs or biologics,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A sponsor may request the FDA to designate our product candidate as a Breakthrough Therapy at the time of, or any time after, the submission of an IND for the product candidate. For product candidates that have been designated as a Breakthrough Therapy, the FDA may take actions appropriate to expedite the development and review of the application, which may include holding meetings with the sponsor and the review team throughout the development of the product candidate; providing timely advice to, and interactive communication with, the sponsor regarding the development of the product candidate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The FDA has broad discretion in determining whether to grant a Fast Track or Breakthrough Therapy designation for a drug. Obtaining a Fast Track or Breakthrough Therapy designation does not change the standards for product approval but may expedite the development or approval process. There is no assurance that the FDA will grant either such designation for any other indication or product candidate that we may pursue. Even if the FDA does grant either such designation, it may not actually result in faster clinical development or regulatory review or approval. Furthermore, such a designation does not increase the likelihood that FYARRO will receive regulatory approval in the United States in other indications.</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not be able to obtain or maintain orphan drug designation or obtain or maintain orphan drug exclusivity for FYARRO or any future product candidates and, even if we do, such exclusivity may not prevent the FDA, EMA or other comparable foreign regulatory authorities, from approving competing products.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FYARRO in additional indications or for any future product candidates.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 xml:space="preserve">In </w:t>
      </w:r>
      <w:r>
        <w:rPr>
          <w:rFonts w:ascii="Times New Roman" w:cs="Times New Roman" w:eastAsia="Times New Roman" w:hAnsi="Times New Roman"/>
          <w:sz w:val="18"/>
          <w:szCs w:val="18"/>
          <w:i w:val="1"/>
          <w:iCs w:val="1"/>
          <w:color w:val="231F20"/>
        </w:rPr>
        <w:t>Catalyst Pharms., Inc. v. Becerra</w:t>
      </w:r>
      <w:r>
        <w:rPr>
          <w:rFonts w:ascii="Times New Roman" w:cs="Times New Roman" w:eastAsia="Times New Roman" w:hAnsi="Times New Roman"/>
          <w:sz w:val="18"/>
          <w:szCs w:val="18"/>
          <w:color w:val="231F20"/>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On January 24, 2023, the FDA published a notice in the Federal Register to clarify that while the agency complies with the court’s order in </w:t>
      </w:r>
      <w:r>
        <w:rPr>
          <w:rFonts w:ascii="Times New Roman" w:cs="Times New Roman" w:eastAsia="Times New Roman" w:hAnsi="Times New Roman"/>
          <w:sz w:val="18"/>
          <w:szCs w:val="18"/>
          <w:i w:val="1"/>
          <w:iCs w:val="1"/>
          <w:color w:val="231F20"/>
        </w:rPr>
        <w:t>Catalyst</w:t>
      </w:r>
      <w:r>
        <w:rPr>
          <w:rFonts w:ascii="Times New Roman" w:cs="Times New Roman" w:eastAsia="Times New Roman" w:hAnsi="Times New Roman"/>
          <w:sz w:val="18"/>
          <w:szCs w:val="18"/>
          <w:color w:val="231F20"/>
        </w:rPr>
        <w:t>, the FDA intends to continue to apply its longstanding interpretation of the regulations to matters outside of the scope of the</w:t>
      </w:r>
      <w:r>
        <w:rPr>
          <w:rFonts w:ascii="Times New Roman" w:cs="Times New Roman" w:eastAsia="Times New Roman" w:hAnsi="Times New Roman"/>
          <w:sz w:val="18"/>
          <w:szCs w:val="18"/>
          <w:i w:val="1"/>
          <w:iCs w:val="1"/>
          <w:color w:val="231F20"/>
        </w:rPr>
        <w:t xml:space="preserve"> Catalyst </w:t>
      </w:r>
      <w:r>
        <w:rPr>
          <w:rFonts w:ascii="Times New Roman" w:cs="Times New Roman" w:eastAsia="Times New Roman" w:hAnsi="Times New Roman"/>
          <w:sz w:val="18"/>
          <w:szCs w:val="18"/>
          <w:color w:val="231F20"/>
        </w:rPr>
        <w:t>order – that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Even if orphan drug designation is granted, we may not be able to obtain or maintain orphan drug exclusivity for that product candidate. We may not be the first to obtain regulatory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that the orphan drug exclusivity may not effectively protect an approved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We received orphan drug designation and orphan drug exclusivity from the FDA for FYARRO for the treatment of advanced malignant PEComa. We may be unable to obtain orphan drug designation or orphan drug exclusivity for any other indication or regulatory approval for FYARRO for any other orphan population, or we may be unable to successfully commercialize FYARRO for such orphan population due to risks that include:</w:t>
      </w:r>
    </w:p>
    <w:p>
      <w:pPr>
        <w:spacing w:after="0" w:line="68" w:lineRule="exact"/>
        <w:rPr>
          <w:sz w:val="20"/>
          <w:szCs w:val="20"/>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orphan patient populations may change in size;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there may be changes in the treatment options for patients that may provide alternative treatments to FYARRO;</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development costs may be greater than projected revenue of drug sales for the orphan indications;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regulatory agencies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there may be difficulties in enrolling patients for clinical trials;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FYARRO may not prove to be efficacious in the respective orphan patient populations;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clinical trial results may not meet the level of statistical significance required by the regulatory agencies;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FYARRO may not have a favorable risk/benefit assessment in the respective orphan indication.</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If we are unable to obtain regulatory approval for FYARRO in any other orphan population for which we obtain orphan drug designation or we are unable to successfully commercialize FYARRO for such orphan population, it could harm our business prospects, financial condition and results of operations.</w:t>
      </w:r>
    </w:p>
    <w:p>
      <w:pPr>
        <w:spacing w:after="0" w:line="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Where appropriate, we plan to secure approval from the FDA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PMRs, the FDA may seek to withdraw accelerated approval.</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 xml:space="preserve">Where possible, we plan to pursue accelerated development strategies in areas of high unmet need. We may seek an accelerated approval pathway for future product candidates. Under the accelerated approval provisions in the FDA, and the FDA’s implementing regulations, the FDA may grant accelerated approval to a product candidate designed to treat a serious or life-threatening condition that generally provides a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 In addition, the FDA currently requires as a condition for accelerated approval pre-approval of promotional materials, which could adversely impact the timing of the commercial launch of the product. The Food and Drug Omnibus Reform Act made several changes to the FDA’s authorities and its regulatory framework, including, among other changes, reforms to the accelerated approval pathway, such as requiring the FDA to specify conditions for post-approval study requirements and setting forth procedures </w:t>
      </w:r>
      <w:r>
        <w:rPr>
          <w:rFonts w:ascii="Times New Roman" w:cs="Times New Roman" w:eastAsia="Times New Roman" w:hAnsi="Times New Roman"/>
          <w:sz w:val="18"/>
          <w:szCs w:val="18"/>
          <w:color w:val="000000"/>
        </w:rPr>
        <w:t>for the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FDA to withdraw a product on an expedited basis for non-compliance with post-approval requirements. In March 2023, the FDA issued a draft guidance on clinical trial considerations for supporting accelerated approval of oncology therapeutics, noting that although single-arm trials have been commonly used to support accelerated approval, a randomized controlled trial is the preferred approach for more robust efficacy and safety assessment. To the extent the FDA requires us to amend the design of our clinical trials or requires additional trials to meet changes in the data requirements for approval, our clinical timelines and approval will be delayed, which can have an adverse effect on our business and operations.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a product candidate would result in a longer time period to commercialization of such product candidate, could increase the cost of development of such product candidate and could harm our competitive position in the marketplace.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face difficulties from changes to current regulations and future legislation.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Existing regulatory policies may change, and additional government regulations may be enacted that could prevent, limit or delay regulatory approval of FYARRO for advanced malignant PEComa outside the United States and for any additional indications that we may seek approval for, or any product candidates that we may develop in the future.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For example, in March 2010, the Patient Protection and Affordable Care Act of 2010, as amended by the Health Care and Education Reconciliation Act of 2010 (the “ACA”), was passed, which substantially changes the way healthcare is financed by both the government and private insurers, and significantly impacts the United States pharmaceutical industry. Some of the provisions of the ACA have been subject to judicial and Congressional challenges, and in June 2021, the Supreme Court held that Texas and other challengers had no legal standing to challenge the ACA, dismissing the case without specifically ruling on the constitutionality of the ACA.</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 xml:space="preserve">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the statutory cap on Medicaid Drug Rebate Program rebates that manufacturers pay to state Medicaid programs will be eliminated. Elimination of this cap may require a pharmaceutical manufacturer to pay more in rebates than it receives on the sale of products, which could have a material impact on our business. Further,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w:t>
      </w:r>
      <w:r>
        <w:rPr>
          <w:rFonts w:ascii="Times New Roman" w:cs="Times New Roman" w:eastAsia="Times New Roman" w:hAnsi="Times New Roman"/>
          <w:sz w:val="18"/>
          <w:szCs w:val="18"/>
          <w:color w:val="000000"/>
        </w:rPr>
        <w:t>In August 2022, Congress passed the Inflation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Reduction Act,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have initiated lawsuits against the federal government asserting that the price negotiation provisions of the Inflation Reduction Act are unconstitutional. The impact of these judicial challenges as well as legislative, executive, and administrative actions and any future healthcare measures and agency rules implem</w:t>
      </w:r>
      <w:r>
        <w:rPr>
          <w:rFonts w:ascii="Times New Roman" w:cs="Times New Roman" w:eastAsia="Times New Roman" w:hAnsi="Times New Roman"/>
          <w:sz w:val="18"/>
          <w:szCs w:val="18"/>
          <w:color w:val="231F20"/>
        </w:rPr>
        <w:t>ented by the Biden administration on us and the pharmaceutical industry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as a whole is unclear. The implementation of cost containment measures or other healthcare reforms may prevent us from being able to generate revenue, attain profitability, or commercialize our product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candidates if approved. Complying with any new legislation and regulatory changes could be time-intensive and expensive, resulting in a material adverse effect on our business.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These changes included aggregate reductions to Medicare payments to providers of up to 2% per fiscal year, effective April 1, 2013, which, due to subsequent legislative amendments, will stay in effect through 2032, unless additional congressional action is taken. In January 2013, former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FYARRO or any other product candidates that we may develop if the future, if approved, and accordingly, our financial operations.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Additionally, FDA recently authorized the state of Florida to import certain prescription drugs from Canada for a period of two years to help reduce drug costs, provided that Florida’s Agency for Health Care Administration meets the requirements set forth by the FDA. Other states may follow Florida.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 xml:space="preserve">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Congress of the FDA’s approval process may significantly delay or prevent regulatory approval, as well as subject us to more stringent product labeling and post-marketing testing and other requirements. Further, if the Supreme Court reverses or curtails the </w:t>
      </w:r>
      <w:r>
        <w:rPr>
          <w:rFonts w:ascii="Times New Roman" w:cs="Times New Roman" w:eastAsia="Times New Roman" w:hAnsi="Times New Roman"/>
          <w:sz w:val="18"/>
          <w:szCs w:val="18"/>
          <w:i w:val="1"/>
          <w:iCs w:val="1"/>
          <w:color w:val="231F20"/>
        </w:rPr>
        <w:t>Chevron</w:t>
      </w:r>
      <w:r>
        <w:rPr>
          <w:rFonts w:ascii="Times New Roman" w:cs="Times New Roman" w:eastAsia="Times New Roman" w:hAnsi="Times New Roman"/>
          <w:sz w:val="18"/>
          <w:szCs w:val="18"/>
          <w:color w:val="231F20"/>
        </w:rPr>
        <w:t xml:space="preserve"> doctrine, which gives deference to regulatory agencies in litigation against FDA and other agencies, more companies may bring lawsuits against FDA to challenge longstanding decisions and policies of FDA, which could undermine FDA’s authority, lead to uncertainties in the industry, and disrupt FDA’s normal operations, which could delay FDA’s review of our marketing applications.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in other jurisdictions.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Additionally, the collection and use of health data in the European Union is governed by the GDPR, which extends the geographical scope of European Union data protection law to non-European Union entities under certain conditions and imposes substantial obligations upon companies and new rights for individuals. Failure to comply with the GDPR and the applicable national data protection laws of European Union member states may result in fines up to €20.0 million or up to 4% of the total worldwide annual turnover of the preceding financial year, whichever is higher, and other administrative penalties. Additionally, the UK has implemented legislation that substantially implements the GDPR, the UK GDPR,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which provides for similar obligations and provides for penalties for noncompliance of up to the greater of £17.5 million or four percent of worldwide revenues. The GDPR and UK GDPR may increase our responsibility and liability in relation to personal data that we may process, and we may be required to put in place additional mechanisms in an effort to comply with the GDPR and UK GDPR. This may be onerous and if our efforts to comply with the GDPR, UK GDPR or other applicable European Union laws and regulations are not successful, it could adversely affect our business in the European Union and United Kingdom.</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Finally, state and foreign laws may apply generally to the privacy and security of information we maintain, and may differ from each other in significant ways, thus complicating compliance efforts. For example, the CCPA, which took effect on January 1, 2020, and subsequently was amended and supplemented by the CPRA,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Numerous other states in the U.S. have proposed or enacted similar legislation. While the CCPA and many other similar state laws exempt some data regulated by the Health Insurance Portability and Accountability Act of 1996 (“HIPAA”) and certain clinical trials data, the CCPA and such other laws, to the extent applicable to our business and operations, may increase our compliance costs and potential liability. Further, some states have enacted more specific legislation, such as Washington’s enactment of the My Health, My Data Act, which includes a private right of action. The U.S. federal government is also contemplating federal privacy legislation. The evolving trend toward more stringent privacy legislation in the United States, including the foregoing laws and regulations and the potential for future laws and regulations, could increase our compliance costs and potential liability and adversely affect our business.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It is possible that the GDPR, UK GDPR, CCPA, CPRA, or other laws and regulations relating to privacy and data protection may be interpreted and applied in a manner that is inconsistent from jurisdiction to jurisdiction or inconsistent with our policies and practices. We cannot guarantee that we are in compliance with all such applicable data protection laws and regulations, and we cannot be sure how these regulations will be interpreted, enforced or applied to our operations. Furthermore, other jurisdictions outside the EU are similarly introducing or enhancing privacy and data security laws, rules, and regulations, which could increase our compliance costs and the risks associated with noncompliance. It is possible that these laws may be interpreted and applied in a manner that is inconsistent with our practices, and our efforts to comply with the evolving data protection rules may be unsuccessful. Our actual or alleged non-compliance could result in government-imposed fines or orders requiring that we change our practices, which could adversely affect our business.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Our actual or perceived failure to adequately comply with applicable laws and regulations or other actual or asserted obligations relating to privacy and data protection, or to protect personal data and other data we process or maintain, could result in regulatory enforcement actions against us, including fines, imprisonment of company officials and public censure, claims for damages by affected individuals, other lawsuits or reputational and damage, all of which could materially affect our business, financial condition, results of operations, and growth prospects.</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Inadequate funding for the FDA, the Securities and Exchange Commission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If a prolonged government shutdown occurs or if the FDA's normal operations are disrupted,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other United States healthcare laws and compliance requirements, we could become subject to fines or penalties or incur costs that could have a material adverse effect on our business. Further, our relationships with healthcare professionals, clinical investigators, CROs and third-party payors in connection with our current and future business activities may be subject to federal and state healthcare fraud and abuse laws, false claims laws,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Healthcare providers and third-party payors play a primary role in the recommendation and prescription of any product candidates for which we obtain regulatory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regulatory approval. Restrictions under applicable federal and state healthcare laws and regulations may include the following:</w:t>
      </w:r>
    </w:p>
    <w:p>
      <w:pPr>
        <w:spacing w:after="0" w:line="75" w:lineRule="exact"/>
        <w:rPr>
          <w:sz w:val="20"/>
          <w:szCs w:val="20"/>
          <w:color w:val="auto"/>
        </w:rPr>
      </w:pPr>
    </w:p>
    <w:p>
      <w:pPr>
        <w:jc w:val="both"/>
        <w:ind w:left="980" w:hanging="486"/>
        <w:spacing w:after="0" w:line="254"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83" w:lineRule="exact"/>
        <w:rPr>
          <w:rFonts w:ascii="Times New Roman" w:cs="Times New Roman" w:eastAsia="Times New Roman" w:hAnsi="Times New Roman"/>
          <w:sz w:val="18"/>
          <w:szCs w:val="18"/>
          <w:color w:val="auto"/>
        </w:rPr>
      </w:pPr>
    </w:p>
    <w:p>
      <w:pPr>
        <w:jc w:val="both"/>
        <w:ind w:left="980" w:hanging="486"/>
        <w:spacing w:after="0" w:line="255"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80"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federal criminal laws that prohibit executing a scheme to defraud any healthcare benefit program or making, or causing to be made, false statements relating to healthcare matters;</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FCPA, the U.K. Bribery Act of 2010, and other local anti-corruption laws that apply to our international activities;</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55"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the federal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w:t>
      </w:r>
      <w:r>
        <w:rPr>
          <w:rFonts w:ascii="Times New Roman" w:cs="Times New Roman" w:eastAsia="Times New Roman" w:hAnsi="Times New Roman"/>
          <w:sz w:val="18"/>
          <w:szCs w:val="18"/>
          <w:color w:val="000000"/>
        </w:rPr>
        <w:t>matters; similar to the federal Anti-Kickback Statute, a person or entity does not need to have actual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knowledge of the statute or specific intent to violate it in order to have committed a violation;</w:t>
      </w:r>
    </w:p>
    <w:p>
      <w:pPr>
        <w:spacing w:after="0" w:line="80" w:lineRule="exact"/>
        <w:rPr>
          <w:rFonts w:ascii="Times New Roman" w:cs="Times New Roman" w:eastAsia="Times New Roman" w:hAnsi="Times New Roman"/>
          <w:sz w:val="18"/>
          <w:szCs w:val="18"/>
          <w:color w:val="auto"/>
        </w:rPr>
      </w:pPr>
    </w:p>
    <w:p>
      <w:pPr>
        <w:jc w:val="both"/>
        <w:ind w:left="980" w:hanging="486"/>
        <w:spacing w:after="0" w:line="25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HIPAA, as amended by the Health Information Technology for Economic and Clinical Health Act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231F20"/>
        </w:rPr>
        <w:t>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68" w:lineRule="exact"/>
        <w:rPr>
          <w:sz w:val="20"/>
          <w:szCs w:val="20"/>
          <w:color w:val="auto"/>
        </w:rPr>
      </w:pPr>
    </w:p>
    <w:p>
      <w:pPr>
        <w:jc w:val="both"/>
        <w:ind w:left="980" w:hanging="486"/>
        <w:spacing w:after="0" w:line="254"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made to covered recipients in the previously year,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our failure to submit required information timely, accurately, and completely may result in significant civil monetary penalties and may increase our liability under other federal laws or regulations; and</w:t>
      </w:r>
    </w:p>
    <w:p>
      <w:pPr>
        <w:spacing w:after="0" w:line="83" w:lineRule="exact"/>
        <w:rPr>
          <w:rFonts w:ascii="Times New Roman" w:cs="Times New Roman" w:eastAsia="Times New Roman" w:hAnsi="Times New Roman"/>
          <w:sz w:val="18"/>
          <w:szCs w:val="18"/>
          <w:color w:val="auto"/>
        </w:rPr>
      </w:pPr>
    </w:p>
    <w:p>
      <w:pPr>
        <w:jc w:val="both"/>
        <w:ind w:left="980" w:hanging="486"/>
        <w:spacing w:after="0" w:line="25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GDPR, the UK GDPR”, and state laws and regulations, including general legislation such as the CCPA, and sector- or subject matter-specific laws and regulations, also govern the privacy and security of health information in some circumstances, many of which differ from each other in significant ways. Many state laws in the U.S. are not preempted by HIPAA, thus complicating compliance efforts. There are ambiguities as to what is required to comply with these state and other laws and regulations and if we fail or are alleged to comply with an applicable requirement of any of these laws or regulations, we could be subject to claims, demands, and litigation initiated by private individuals or entities, regulatory investigations and other proceedings, and fines, penalties, and other liabilities.</w:t>
      </w:r>
    </w:p>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Because of the breadth of these laws and the narrowness of available statutory and regulatory exceptions or safe harbors, it is possible that some of our activities, including those of our contractors or agents who conduct business for or on behalf of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If we were to grow our business and expand our sales organization or rely on distributors outside of the United States, we would be at increased risk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alleged or found to be in violation of any of these laws or any other governmental regulations that may apply to us, we may be subject to significant consequences,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Any of the foregoing consequences could seriously harm our business and our financial results. Defending against any such actions can be costly, time-consuming and may require significant financial and personnel resources. Therefore, even if we are successful in defending against any such actions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We are exposed to the risk that our employees, independent contractors, consultants, commercial collaborators, principal investigators, CROs, suppliers and vendors may engage in fraud, misconduct or other improper activities. Misconduct by these parties could include intentional, reckless, and negligent conduct that fails to: comply with the regulations of the FDA and other comparable foreign regulatory authorities; provide true, complete and accurate information to the FDA and other comparable foreign regulatory authorities; comply with manufacturing standards we have established; comply with federal and state health care fraud and abuse laws and regulations and similar foreign fraudulent misconduct laws; and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certain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8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or any contract manufacturers and suppliers we engage fails to comply with environmental, health and safety laws and regulations, we could become subject to fines or penalties or incur costs that could have a material adverse effect on our business.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The operations of our contractors may involve the use of hazardous and flammable materials, including chemicals and biological materials, and accordingly may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including any contamination at our current or past facilities and at third-party facilities, we could be held liable for any resulting damages, and any liability could exceed our resources. We also could incur significant costs associated with civil or criminal fines and penalties.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business activities may be subject to the FCPA and similar anti-bribery and anti-corruption laws of other countries. Compliance with these legal requirements could limit our ability to compete in foreign markets and subject us to liability if we violate them.</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Our business activities may be subject to the FCPA and similar anti-bribery or anti-corruption laws, regulations or rules of other countries in which we operate, including the UK Bribery Act. The FCPA generally prohibits companies and their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are employed by the government and would be considered foreign officials under the FCPA, and often the purchasers of pharmaceuticals are government entities; therefore, our dealings with these doctors, hospital employees and purchasers are subject to regulation under the FCPA. Recently, the SEC and DOJ have increased their FCPA enforcement activities with respect to biotechnology and pharmaceutical companies. There is no certainty that all of our employees, agents, collaborators,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business activities may be subject to United States and certain foreign export controls, trade sanctions, and import laws and regulations.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Compliance with these legal requirements could limit our ability to compete in foreign markets and subject us to liability if we violate them.</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United States export control laws and economic sanctions prohibit the shipment of certain products and services to countries, governments, and persons targeted by United States sanctions. For example, the U.S. government and other governments in jurisdictions in which we may operate in the future have imposed severe sanctions and export controls against Russia and Russian interests and threatened additional sanctions and controls in connection with the conflict in Ukraine. The impact of these measures, as well as potential responses to them by Russia, is currently unknown and they could adversely affect our business, supply chain, business partners or customers.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Further, with rising international trade tensions or sanctions, our business may be adversely affected following new or increased tariffs that result in increased global clinical trial costs as a result of international transportation of clinical drug supplies, as well as the costs of materials and products imported into the United States. Tariffs, trade restrictions or sanctions imposed by the United States or other countries, including as a result geopolitical tension, such as a deterioration in the relationship between the United States and China, escalation in conflicts in Ukraine and the Middle East, including any additional sanctions, export controls or other restrictive actions that may be imposed by the United States and/or other countries against governmental or other entities in Russia, could increase the prices of our and our collaboration partners’ drug products, affect our and our collaboration partners’ ability to commercialize such drug products, or create adverse tax consequences in the United States or other countries. As a result, changes in international trade policy, changes in trade agreements and the imposition of tariffs or sanctions by the United States or other countries could materially adversely affect our results of operations and financial condition.</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Reliance on Third Parties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We contract with qualified third parties for the production of FYARRO for commercialization and expect to continue to do so for additional clinical trials. This reliance on third parties, some of which are sole source suppliers, increases the risk that we will not have sufficient quality and quantities of FYARRO to meet demand or otherwise or such quantities at an acceptable cost, which could delay, prevent or impair our development or commercialization efforts.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 xml:space="preserve">We do not currently have, nor do we plan to acquire, the infrastructure or internal capability to manufacture supplies of FYARRO or any future product candidates for use in development and commercialization. We rely, and expect to continue to rely, on third-party manufacturers for the production of FYARRO and product candidates for preclinical studies and clinical trials under the guidance of members of our organization. In the case of FYARRO, we rely on a single third-party manufacturer, Fresenius Kabi, LLC (“Fresenius Kabi”), and currently have no alternative manufacturer in place. On January 13, 2022, we entered into a Negotiated Purchase Order Terms and Conditions for Clinical and Commercial Product, as amended effective as of August 1, 2022 (the “Fresenius Agreement”), with Fresenius Kabi pursuant to which Fresenius Kabi will manufacture FYARRO for intravenous use for us, and we will purchase FYARRO as a finished drug product from Fresenius Kabi, on a purchase-order basis. The Fresenius Agreement, as further amended in January 2023, is effective through March 31, 2024 (or such later date as may be agreed between the parties in writing) </w:t>
      </w:r>
      <w:r>
        <w:rPr>
          <w:rFonts w:ascii="Times New Roman" w:cs="Times New Roman" w:eastAsia="Times New Roman" w:hAnsi="Times New Roman"/>
          <w:sz w:val="18"/>
          <w:szCs w:val="18"/>
          <w:color w:val="000000"/>
        </w:rPr>
        <w:t>and we are currently negotiating an extension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to such agreement. Under the Fresenius Agreement</w:t>
      </w:r>
      <w:r>
        <w:rPr>
          <w:rFonts w:ascii="Times New Roman" w:cs="Times New Roman" w:eastAsia="Times New Roman" w:hAnsi="Times New Roman"/>
          <w:sz w:val="18"/>
          <w:szCs w:val="18"/>
          <w:color w:val="231F20"/>
        </w:rPr>
        <w:t>, we may purchase FYARRO for either clinical or commercial purposes for use in the United States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Canada. The price of FYARRO will be fixed, subject to the ability of Fresenius Kabi to increase pricing under specified circumstances. We also have an obligation to purchase certain minimum quantities of FYARRO and any failure to purchase those minimum quantities will result in an additional payment from us to Fresenius Kabi. We have other supply agreements in place for key raw materials used in the manufacture of FYARRO such as for the drug substance sirolimus and for human albumin, which are key ingredients in the drug product. If we were to engage another third-party manufacturer, we will be required to verify that the new third-party manufacturer maintains facilities and procedures that comply with quality standards and with all applicable regulations. We will also need to verify, such as through a bridging study, that any new manufacturing process will produce FYARRO or any other product candidate we may develop in the future, if approved, according to the specifications previously submitted to the FDA or another regulatory authority. If we were to experience an unexpected loss of supply of FYARRO or any other product candidate that we may develop in the future for any reason, whether as a result of manufacturing, supply or storage issues or otherwise, we could experience delays, disruptions, suspensions or terminations in commercializing FYARRO for advanced malignant PEComa, or be required to restart or repeat, any pending or ongoing clinical trials for FYARRO in other indications or for any other product candidates we may develop in the future, in a timely manner or on budget. Moreover, if we are unable to keep up with demand for FYARRO, our revenue could be impaired, market acceptance for FYARRO could be adversely affected.</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We may be unable to maintain or establish required agreements with third-party manufacturers or to do so on acceptable terms. Further, any delay in identifying and qualifying a manufacturer for commercial production could negatively impact the commercialization of FYARRO, and, in the event that we do not have sufficient product to complete our planned clinical trials, it could delay such trials. Even if we are able to establish agreements with third-party manufacturers, reliance on third-party manufacturers entails additional risks, including:</w:t>
      </w:r>
    </w:p>
    <w:p>
      <w:pPr>
        <w:spacing w:after="0" w:line="72" w:lineRule="exact"/>
        <w:rPr>
          <w:sz w:val="20"/>
          <w:szCs w:val="20"/>
          <w:color w:val="auto"/>
        </w:rPr>
      </w:pPr>
    </w:p>
    <w:p>
      <w:pPr>
        <w:jc w:val="both"/>
        <w:ind w:left="980" w:hanging="486"/>
        <w:spacing w:after="0" w:line="26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failure of the third party to manufacture FYARRO or any of our other product candidates that we may develop in the future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termination or nonrenewal of arrangements or agreements by our third-party contractors at a time that is costly or inconvenient for us;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breach by the third-party contractors of our agreements with them;</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failure of third-party contractors to comply with applicable regulatory requirements, including manufacturing drug supply pursuant to strictly enforced cGMPs;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failure of the third-party contractor to manufacture FYARRO or any of our other product candidates that we may develop in the future according to our specifications;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mislabeling of clinical supplies, potentially resulting in the wrong dose amounts being supplied or active drug or placebo not being properly identified;</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misappropriation of our proprietary information, including our trade secrets and know-how.</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We do not have complete control over all aspects of the manufacturing process of our contract manufacturing partners and are dependent on these contract manufacturing partners for compliance with cGMP regulations for manufacturing both active pharmaceutical ingredients (“API”) and finished drug products. To date, we have obtained drug substance and drug product from third-party manufacturers to support preclinical and clinical testing of FYARRO. We are in the process of developing our supply chain for FYARRO, including through the Fresenius Agreement. As we commercialize FYARRO and advance FYARRO for additional indications or any other product candidates we may develop in the future through development, we will consider redundant supply for the API and drug product for FYARRO and each of our product candidates that we may develop in the future to protect against any potential supply disruptions. However, we may be unsuccessful in putting in place such framework agreements or protecting against potential supply disruptions.</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Third-party manufacturers may not be able to comply with cGMP regulations or similar regulatory requirements outside of the United States. If our CMOs cannot successfully manufacture material that conforms to our specifications and the strict regulatory requirements of the FDA, EMA or others, they will not be able to pass a pre-approval inspection or secure and/or maintain regulatory approval for their manufacturing facilities. In addition, we do not have control over the ability of our CMOs to maintain adequate quality control, quality assurance and qualified personnel. Furthermore, many of our CMOs are engaged with other companies to supply and/or manufacture materials or products for such companies, which exposes our manufacturers to regulatory risks for the production of such materials and products. As a result, failure to satisfy the regulatory requirements for the production of those materials and products may affect the regulatory clearance of our CMOs facilities generally. If the FDA, EMA or a comparable foreign regulatory authority does not approve these facilities for the manufacture of FYARRO or any of our other product candidates that we may develop in the future or if we withdraw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commercialize FYARRO for advanced malignant PEComa and develop, obtain regulatory approval for or market FYARRO for other indications or any of our other product candidates that we may develop in the future, if approved. Our reliance on CMOs also exposes us to the possibility that they, or third parties with access to their facilities, will have access to and may appropriate our trade secrets or other proprietary information. Our failure, or the failure of our third-party manufacturers, to comply with applicable regulations could result in sanctions being imposed on the parties, including fines, injunctions, civil penalties, delays, suspension or withdrawal of approvals, license revocation, seizures or recalls of product candidates or drugs, operating restrictions and criminal prosecutions, any of which could significantly and adversely affect supplies of FYARRO or any of our other product candidates or drugs that we may develop in the future and harm our business and results of operations.</w:t>
      </w:r>
    </w:p>
    <w:p>
      <w:pPr>
        <w:spacing w:after="0" w:line="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FYARRO or in our third-party manufacturing facilities, such manufacturing facilities may need to be closed for an extended period of time to investigate and remedy the contamination. Any stability or other issues relating to the manufacture of our product candidates may occur in the future. 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FYARRO or any of our other product candidates that we may develop in the future to perform differently and affect commercialization or the results of planned clinical trials or other future clinical trials. In addition, quarantines, shelter-in-place and similar government orders, or the perception that such orders, shutdowns or other restrictions on the conduct of business operations could occur, related to COVID-19 or other infectious diseases could impact personnel at our third-party manufacturing facilities upon which we rely, or the availability or cost of materials, which could disrupt the supply chain for FYARRO or any of our product candidates that we may develop in the future. Further,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Any of these challenges could delay completion of clinical trials, require bridging clinical trials or the repetition of one or more clinical trials, increase clinical study costs, delay approval of our product candidate, impair commercialization efforts, increase our cost of goods, and have an adverse effect on our business, financial condition, results of operations, and growth prospects. Our current and anticipated future dependence upon others for the manufacture of FYARRO and any of our other product candidates that we may develop in the future may adversely affect our future profit margins and our ability to commercialize FYARRO or any other product candidates that we may develop in the future that receives regulatory approval on a timely and competitive basis.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are dependent on a single-source supplier for the drug product FYARRO, and the loss of such supplier could harm our business.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 xml:space="preserve">We rely on a single-source supplier, Fresenius Kabi, for our drug product FYARRO. In January 2022, we entered into the Fresenius Agreement, which we amended in January 2023 to, among other things, extend the term of the Fresenius Agreement to March 31, 2024 (or such later date as may be agreed upon between the parties), and amend certain terms related to pricing and the Company’s obligation to purchase certain minimum quantities of FYARRO from Fresenius Kabi. </w:t>
      </w:r>
      <w:r>
        <w:rPr>
          <w:rFonts w:ascii="Times New Roman" w:cs="Times New Roman" w:eastAsia="Times New Roman" w:hAnsi="Times New Roman"/>
          <w:sz w:val="18"/>
          <w:szCs w:val="18"/>
          <w:color w:val="000000"/>
        </w:rPr>
        <w:t>We are currently negotiating a further extension to the Fresenius Agreement.</w:t>
      </w:r>
      <w:r>
        <w:rPr>
          <w:rFonts w:ascii="Times New Roman" w:cs="Times New Roman" w:eastAsia="Times New Roman" w:hAnsi="Times New Roman"/>
          <w:sz w:val="18"/>
          <w:szCs w:val="18"/>
          <w:color w:val="231F20"/>
        </w:rPr>
        <w:t xml:space="preserve"> We also have supply agreements in place for key raw materials used in the manufacture of FYARRO such as for the drug substance sirolimus and for human albumin, which are key ingredients in the drug product. Our suppliers could discontinue the manufacturing or supply of FYARRO at any time. We do not carry a significant inventory of FYARRO or our key raw materials used in the manufacture of FYARRO. Our suppliers may not be able to meet our demand for their products, either because of acts of nature, the nature of our agreements with those manufacturers or our relative importance to them as a customer, and our manufacturers may decide in the future to discontinue or reduce the level of business they conduct with us either entirely or for a particular territory. The loss of any of the foregoing would require significant time and effort to locate and qualify an alternative source of supply. We currently rely on a single company for such manufacturing for FYARRO. Any contractual disputes between us and such manufacturer, the termination of the Fresenius Agreement or loss of manufacturing ability by such manufacturer could similarly require significant time, effort and expense to locate and qualify an alternative source of manufacturing, which could materially harm our business.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In addition, we might not be able to identify and qualify additional or replacement suppliers for the drug product FYARRO or for the key raw materials used in the manufacture of FYARRO timely or at all or without incurring significant additional costs. We cannot guarantee that we will be able to establish alternative relationships on similar terms, without delay or at all. We may also face regulatory delays or be required to seek additional regulatory clearances or approvals if we experience any delay or deficiency in the quality of products obtained from suppliers or if we have to replace our suppliers. In addition, we do not currently have arrangements in place for redundant supply of the drug product FYARRO or for the key raw materials used in the manufacture of FYARRO.</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Establishing additional or replacement suppliers for the drug product FYARRO or for the key raw materials used in the manufacture of FYARRO, if required, or any supply interruption from our suppliers, could limit our ability to manufacture our products, result in production delays and increased costs and adversely affect our ability to deliver products to our customers on a timely basis. Our inability to obtain sufficient quantities of the drug product FYARRO or for the key raw materials used in the manufacture of FYARRO also could adversely affect clinical development of FYARRO in other indications. If we are not able to identify alternate sources of supply for the drug product FYARRO or for the key raw materials used in the manufacture of FYARRO, we will not be able to, or may be delayed in our efforts to, successfully commercialize FYARRO or any other product candidate that we may develop in the future or we will not be able to obtain, or may be delayed in obtaining, regulatory approvals for FYARRO in other indications or for any other product candidates that we may develop in the future.</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manufacture of drugs is complex, and our third-party manufacturers may encounter difficulties in production. If any of our third-party manufacturers encounter such difficulties, our ability to provide adequate supply of FYARRO for patients or for clinical trials or any other product candidate that we may develop in the future, if approved, could be delayed or prevented.</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Manufacturing drugs, especially in large quantities, is complex and highly regulated and may require the use of innovative technologies. Each lot of an approved drug product must undergo thorough testing for identity, strength, quality, purity and efficacy. Manufacturing drugs requires facilities specifically designed for and validated for this purpose, as well as sophisticated quality assurance and quality control procedures.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Slight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efficacy of the products before and after such changes. If microbial, viral or other contaminations or impurities are discovered at the facilities of our manufacturer, such facilities may need to be closed for an extended period of time to investigate and remedy the contamination or impurity, which could delay clinical trials and adversely harm our business. If our third-party manufacturers are unable to produce sufficient quantities of consistent quality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depend on intellectual property licensed from third parties and termination of any of these licenses could result in the loss of significant rights, which would harm our business.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We are dependent on patents, know-how and proprietary technology, both our own and licensed from others. We entered into a license agreement with Abraxis BioScience, LLC, a wholly owned subsidiary of Celgene Corporation, which is a wholly owned subsidiary of Bristol-Myers Squibb Company (“BMS”) pursuant to which we have licensed exclusive global rights to intellectual property and know-how related to FYARRO. We are required to use commercially reasonable efforts or diligent efforts to commercialize products based on the licensed rights and to pay certain royalties based off our net sales, certain sublicense fees and certain other fees. We may not meet these requirements, which could result in a loss or termination of any rights under such agreements. Any termination of these licenses will result in the loss of significant rights and will restrict our ability to commercialize FYARRO.</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rely, and expect to continue to rely, on third parties to conduct our preclinical studies and clinical trials and those third parties may not perform satisfactorily, including failing to meet deadlines for the completion of such trials, research and studies.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We do not have the ability to independently conduct all of our preclinical studies and clinical trials. We currently rely on third parties, such as CROs, clinical data management organizations, medical institutions and clinical investigators, to conduct, supervise and monitor our current or planned preclinical studies and clinical trials of FYARRO for additional indications, and we expect to continue to rely upon third parties to conduct additional preclinical studies and clinical trials of FYARRO for additional indications and other product candidates we may develop in the future. We enter into agreements with third parties that have a significant role in the conduct of our preclinical studies and clinical trials and the subsequent collection and analysis of data. These third parties are not our employees, and except for remedies available to us under our agreements with such third parties, we have limited ability to control the conduct of such third party, the amount or timing of resources that any such third party will devote to our preclinical studies and clinical trials and the management of data developed through preclinical studies and clinical trials. Communicating with outside parties can also be challenging, potentially leading to mistakes as well as difficulties in coordinating activities. The third parties we rely on for these services may also (i) have staffing difficulties, (ii) fail to comply with contractual obligations, (iii) experience regulatory compliance issues, (iv) undergo changes in priorities or become financially distressed, or (v) have relationships with other entities, some of which may be our competitors, which may draw time and resources from our development programs. The third parties with whom we may contract might not be diligent, careful or timely in conducting our preclinical studies or clinical trials, resulting in the preclinical studies and clinical trials being delayed or unsuccessful. Some of these third parties may terminate their engagements with us at any time. If we need to enter into alternative arrangements with a third party, this would delay our drug development activities.</w:t>
      </w:r>
    </w:p>
    <w:p>
      <w:pPr>
        <w:spacing w:after="0" w:line="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Our reliance on these third parties for such drug development activities will reduce our control over these activities but will not relieve us of our regulatory responsibilities. For example, we will remain responsible for ensuring that each of our preclinical studies and clinical trials is conducted in accordance with the general investigational plan and protocols for the trial and legal, regulatory, and scientific requirements and standards. Moreover, the FDA requires us and our third parties to comply with applicable GLP and GCP standards, regulations for conducting, monitoring, recording and reporting the results of preclinical studies and clinical trials to assure that the data and reported results are reliable and accurate and for clinical trials that the rights, integrity and confidentiality of trial participants are protected and that they are adequately informed of the potential risks of participating in clinical trials.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generated in our preclinical studies and clinical trials may be deemed unreliable and the FDA, EMA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and clinical trials substantially comply with GCP regulations. In addition, our clinical trials must be conducted with product candidates produced under current cGMP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 We are also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If we cannot contract with acceptable third parties on commercially reasonable terms, or at all, or if these third parties do not successfully carry out their contractual duties or perform preclinical studies and clinical trials in a satisfactory manner, meet expected deadlines or conduct our preclinical studies and clinical trials in accordance with legal and regulatory requirements or our stated protocols, we will not be able to obtain, or may be delayed in obtaining, regulatory approvals for product candidates that we may develop in the future and will not be able to, or may be delayed in our efforts to, successfully commercialize such product candidates, if approved.</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form or seek strategic alliances or collaborations in the future. Such alliances and collaborations may inhibit future opportunities, or we may not realize the benefits of such collaborations or alliances.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We may form or seek strategic alliances, joint ventures or collaborations or enter into licensing arrangements with third parties that we believe will complement or augment our development and commercialization efforts with respect to FYARRO or any future product candidates that we may develop. We are at risk that any such future collaborations may not be successful.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Factors that may affect the success of our collaborations include the following:</w:t>
      </w:r>
    </w:p>
    <w:p>
      <w:pPr>
        <w:spacing w:after="0" w:line="117" w:lineRule="exact"/>
        <w:rPr>
          <w:sz w:val="20"/>
          <w:szCs w:val="20"/>
          <w:color w:val="auto"/>
        </w:rPr>
      </w:pPr>
    </w:p>
    <w:p>
      <w:pPr>
        <w:ind w:left="980" w:right="20" w:hanging="486"/>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collaboration partners may incur financial and cash flow difficulties that force them to limit or reduce their efforts under their collaboration agreement with us;</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collaboration partners may be pursuing alternative technologies or developing alternative products that are competitive to our technology and products, either on their own or in partnership with others;</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collaboration partners may terminate their collaboration with us, which could make it difficult for us to attract new partners or adversely affect perception of us in the business and financial communities; and</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collaboration partners may pursue higher priority programs or change the focus of their development programs, which could affect their commitment to us.</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any future collaboration agreements we may enter into, are generally subject to termination by the counterparty on short notice upon the occurrence of certain circumstances without cause subject to a specified notice period. Accordingly, even if we believe that the development of product candidates is worth pursuing, our partners may choose not to continue with such development. If any of our collaborations are terminated, we may not receive additional milestones or royalties under those collaborations. In addition, we may be required to devote additional resources to the development of our product candidates or seek a new collaboration partner on short notice, and the terms of any additional collaboration or other arrangements that we establish may not be favorable to us. For example, in December 2020, we granted to EOC (as defined herein) exclusive rights to develop and commercialize FYARRO in the EOC Territory (as defined below). Under the EOC License Agreement (as defined herein), we received an upfront payment and were eligible to receive regulatory and sales-based milestone payments upon the occurrence of certain milestone events totaling $257 million, as well as tiered royalties based on annual net sales of FYARRO. In addition, EOC was responsible for development, regulatory submissions, and commercialization in China, Hong Kong, Macau and Taiwan (collectively, the “EOC Territory”). The EOC License Agreement was terminated effective June 27, 2022, and EOC initiated a Request for Arbitration with the International Chamber of Commerce's International Court of Arbitration against us on the same date. Under the EOC License Agreement, we relied on EOC for a substantial portion of the financial resources and for the development, regulatory, and commercialization activities for FYARRO in the EOC Territory. In addition, EOC's termination of the EOC License Agreement prior to completing development or commercialization of FYARRO under the collaboration adversely impacts the potential approval and our revenue from the licensed product in the EOC Territory and we will not receive future revenues from the collaboration. It may be necessary for us to assume the responsibility at our own expense for the development of FYARRO in the EOC Territory or find another partner for the territory. In that event, we would likely need to seek additional funding and our potential to generate future revenues from FYARRO could be significantly reduced and our business could be materially and adversely harmed. See Notes 8 and 13 to the audited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 for more information about the EOC License Agreement, its termination and resulting arbitration.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efforts for additional alliances or collaborations may also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Furthermore, we may not be able to realize the benefit of such transactions if we are unable to successfully integrate them with our existing operations and company culture. We cannot be certain that, following a strategic transaction or license, we will achieve the revenues or specific net income that justifies such transaction.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If we cannot maintain successful collaborations, our business, financial condition, and operating results may be adversely affected.</w:t>
      </w:r>
    </w:p>
    <w:p>
      <w:pPr>
        <w:spacing w:after="0" w:line="1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engage in future acquisitions or strategic partnerships, this may increase our capital requirements, dilute our stockholders, cause us to incur debt or assume contingent liabilities, and subject us to other risks.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54" w:lineRule="exact"/>
        <w:rPr>
          <w:sz w:val="20"/>
          <w:szCs w:val="20"/>
          <w:color w:val="auto"/>
        </w:rPr>
      </w:pPr>
    </w:p>
    <w:p>
      <w:pPr>
        <w:ind w:left="980" w:hanging="48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assumption of additional indebtedness or contingent liabilities;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issuance of our equity securities;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assimilation of operations, intellectual property, and products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diversion of our management’s attention from our existing programs and initiatives in pursuing such a strategic transaction;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retention of key employees, 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risks and uncertainties associated with the other party to such a transaction, including the prospects of that party and their existing products or product candidates and regulatory approvals; and</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inability to generate revenue from acquired technology and/or products sufficient to meet our objectives in undertaking the acquisition or even to offset the associated acquisition and maintenance costs.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decide to establish collaborations but are not able to establish those collaborations on commercially reasonable terms, we may have to alter our development and commercialization plans.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Our drug development programs and the potential commercialization of FYARRO in additional indications or any future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If and when we seek to enter into collaborations, we may not be able to negotiate collaborations on a timely basis, on acceptable terms, or at all. If we are unable to do so, we may have to curtail the development of a product candidate,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FYARRO in additional indications or any future product candidates or bring them to market and generate product revenue.</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enter into collaborations with third parties for the development and commercialization of FYARRO in additional indications or any future product candidates. If those collaborations are not successful, we may not be able to capitalize on the market potential of these product candidates.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If we enter into any collaboration arrangements with any third parties, we will likely have limited control over the amount and timing of resources that our collaborators dedicate to the development or commercialization of FYARRO in additional indications or any future product candidates. Our ability to generate revenues from these arrangements will depend on our collaborators’ abilities and efforts to successfully perform the functions assigned to them in these arrangements. Collaborations involving FYARRO or any future product candidates would pose numerous risks to us, including the following:</w:t>
      </w:r>
    </w:p>
    <w:p>
      <w:pPr>
        <w:spacing w:after="0" w:line="72" w:lineRule="exact"/>
        <w:rPr>
          <w:sz w:val="20"/>
          <w:szCs w:val="20"/>
          <w:color w:val="auto"/>
        </w:rPr>
      </w:pPr>
    </w:p>
    <w:p>
      <w:pPr>
        <w:ind w:left="980" w:hanging="486"/>
        <w:spacing w:after="0" w:line="282"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collaborators have significant discretion in determining the efforts and resources that they will apply to these collaborations and may not perform their obligations as expected;</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us;</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collaborator with marketing and distribution rights to multiple products may not commit sufficient resources to the marketing and distribution of FYARRO or any other product candidate that we may develop in the future, if approved, relative to other products;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auto"/>
        </w:rPr>
      </w:pPr>
    </w:p>
    <w:p>
      <w:pPr>
        <w:jc w:val="both"/>
        <w:ind w:left="980" w:right="20" w:hanging="486"/>
        <w:spacing w:after="0" w:line="266"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collaborations may be terminated and, if terminated, may result in a need for additional capital to pursue further development or commercialization of the applicable product candidates;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20" w:hanging="486"/>
        <w:spacing w:after="0" w:line="282"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collaboration agreements may not lead to development or commercialization of FYARRO or any other product candidates that we may develop in the future in the most efficient manner or at all;</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FYARRO or any other product candidates that we may develop in the future;</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collaborators may own or co-own intellectual property covering our products that results from us collaborating with them, and in such cases, we would not have the exclusive right to develop or commercialize such intellectual property; and</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collaborator’s sales and marketing activities or other operations may not be in compliance with applicable laws, resulting in civil or criminal proceedings.</w:t>
      </w:r>
    </w:p>
    <w:p>
      <w:pPr>
        <w:spacing w:after="0" w:line="5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For example, on June 27, 2022, EOC elected to terminate the EOC License Agreement, effective immediately, due to alleged material breaches by us. We disagree with, and continue to dispute, EOC’s allegations of material breach and the matter is currently in arbitration. See Notes 8 and 13 to the audited consolidated financial statements for more information about the EOC License Agreement, its termination, and resulting arbitration. Under the EOC License Agreement, we relied on EOC for a substantial portion of the financial resources and for the development, regulatory, and commercialization activities for FYARRO in the EOC Territory. In addition, EOC’s termination of the EOC License Agreement prior to completing development or commercialization of FYARRO under the collaboration adversely impacts the potential approval and our revenue from the licensed product in the EOC Territory and we will not receive future revenues from the collaboration. It may be necessary for us to assume the responsibility at our own expense for the development of FYARRO in the EOC Territory or find another partner for the territory. In that event, we would likely need to seek additional funding and our potential to generate future revenues from FYARRO could be significantly reduced and our business could be materially and adversely harmed.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Employee Matters, Managing Our Growth and Other 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success is highly dependent on our ability to attract and retain highly skilled executive officers, key scientific personnel and employees.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results. In particular, the loss of one or more of our executive officers or key scientific personnel could be detrimental to us if we cannot recruit suitable replacements in a timely manner. On November 9, 2022, we announced the transition of Neil Desai, our founder, director, President and Chief Executive Officer to Executive Chairman, and the appointment of Brendan Delaney, our Chief Operating Officer, to President and Chief Executive Officer, each effective January 1, 2023. Following such transition, on March 3, 2023, we announced Mr. Delaney’s resignation as President and CEO, effective March 14, 2023, and the appointment of Scott Giacobello, our Chief Financial Officer to Interim CEO and President, effective March 15, 2023. Mr. Giacobello served as our Interim CEO and President until the appointment of David Lennon as President and CEO, effective October 2, 2023, and Mr. Giacobello continued in his role of Chief Financial Officer. These leadership transitions, as well as future other senior management changes, could disrupt and have a detrimental effect on our business. We will need to hire additional personnel as we expand our clinical development and commercial activities. We could in the future have difficulty attracting and retaining experienced personnel and may be required to expend significant financial resources in our employee recruitment and retention efforts.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Many of the other biotechnology companies that we compete against for qualified personnel have greater financial and other resources, different risk profiles and a longer history in the industry than us.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Additionally, we rely on our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these advisors or they provide services to our competitors, our development and commercialization efforts will be impaired and our business will be significantly harmed.</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If we are unable to successfully establish and maintain sales or marketing capabilities or enter into agreements with third parties to sell or market FYARRO for advanced malignant PEComa or any additional indications that we may seek approval for, or other product candidates that we may develop in the future, when approved, we may not be able to successfully sell or market our product candidates that obtain regulatory approval.</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In order to commercialize FYARRO for advanced malignant PEComa or any additional indications that we may seek approval for, or any other product candidate that we may develop in the future, when approved, we must build and maintain marketing, sales, distribution, managerial and other non-technical capabilities or make arrangements with third parties to perform these services for each of the territories in which we may have approval to sell or market our product(s). There are risks involved with establishing and maintaining both our own commercial capabilities and entering into arrangements with third parties to perform these services and we may not be successful in accomplishing these required tasks, which may negatively impact the successful commercialization of our product(s), including FYARRO for advanced malignant PEComa, for example.</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Establishing and maintaining an internal sales or marketing team with technical expertise and supporting distribution capabilities to commercialize our product candidates that we obtain approval to market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or if we do not have arrangements in place with third parties to provide such services on our behalf. If the commercial launch of a product candidate for which we recruit a sales team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its own. If we are unable to enter into such arrangements when needed, on acceptable terms, or at all, we may not be able to successfully commercialize any of our product candidates that receive regulatory approval, or any such commercialization may experience delays or limitations. We may have little control over such third parties, and any of them may fail to devote the necessary resources and attention to sell and market our products effectively. If we are unable to successfully commercialize our approved product candidates, either on our own or through collaborations with one or more third parties, our future product sales will suffer, and we may incur significant additional losses.</w:t>
      </w:r>
    </w:p>
    <w:p>
      <w:pPr>
        <w:spacing w:after="0" w:line="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 order to successfully implement our plans and strategies, we will need to grow the size of our organization, and we may experience difficulties in managing this growth.</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As of December 31, 2023, we had 89 full-time employees, including 55 employees engaged in research and development. In order to successfully implement our development and commercialization plans and strategies, and as we transition into operating as a public company, we expect to need additional managerial, operational, development, sales, marketing, financial and other personnel. Future growth would impose significant added responsibilities on members of management, including:</w:t>
      </w:r>
    </w:p>
    <w:p>
      <w:pPr>
        <w:spacing w:after="0" w:line="72" w:lineRule="exact"/>
        <w:rPr>
          <w:sz w:val="20"/>
          <w:szCs w:val="20"/>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managing our internal development efforts effectively, including the clinical, FDA, EMA and other comparable foreign regulatory agencies’ review process for FYARRO and any other product candidates we may develop in the future, while complying with any contractual obligations to contractors and other third parties that we may have; and</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improving our operational, financial and management controls, reporting systems and procedures.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Our future financial performance and our ability to successfully develop and commercialize FYARRO and any other product candidates we may develop in the future, if approved, will depend, in part, on our ability to effectively manage any future growth, and our management may also have to divert a disproportionate amount of our attention away from day-to-day activities in order to devote a substantial amount of time to managing these growth activities.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currently rely, and for the foreseeable future will continue to rely, in substantial part on certain independent organizations, advisors and consultants to provide certain services, including key aspects of clinical development and manufacturing.</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regulatory approval of FYARRO for additional indications and any other product candidates that we may develop in the future or otherwise advance our business. We cannot assure you that we will be able to manage our existing third-party service providers or find other competent outside contractors and consultants on economically reasonable terms, or at all.</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If we are not able to effectively expand our organization by hiring new employees and/or engaging additional third-party service providers, we may not be able to successfully implement the tasks necessary to further develop and commercialize FYARRO and other product candidates that we may develop in the future and, accordingly, may not achieve our research, development and commercialization goals.</w:t>
      </w:r>
    </w:p>
    <w:p>
      <w:pPr>
        <w:spacing w:after="0" w:line="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Our internal computer systems, or those of any of our CROs, manufacturers, other contractors or consultants or potential future collaborators, may fail or suffer security or data privacy breaches or other unauthorized or improper access to, or use or other processing of, or destruction of our proprietary or confidential data, employee data, or personal data, which could result in additional costs, loss of revenue, significant liabilities, harm to our brand and material disruption of our operations.</w:t>
      </w:r>
    </w:p>
    <w:p>
      <w:pPr>
        <w:spacing w:after="0" w:line="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231F20"/>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and incidents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systems and information), which may compromise our system infrastructure or lead to the loss, destruction, alteration or dissemination of, or damage to, our data. As the cyber-threat landscape evolves, these attacks are growing in frequency, sophistication and intensity, and are becoming increasingly difficult to detect. These risks may be heightened due to the increasing number of our and our vendors’ and contractors’ personnel working remotely. Further geopolitical events such as wars and conflicts may increase the cybersecurity threats we and the third parties we work with face. Any disruption or security breach resulting in a loss, destruction, unavailability, or unauthorized alteration, dissemination, or other processing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have prevented or will prevent significant breakdowns or breaches in systems or other cyber incidents that cause loss, destruction, unavailability, or unauthorized alteration, dissemination, or other processing of, or damage to, our data that could have a material adverse effect upon our reputation, business, operations or financial condition. For example, any such event that were to cause interruptions in our operations could result in a material disruption of our programs and the development of our product candidates could be delayed. In addition, the loss, unauthorized alteration, or unavailability of clinical trial data for our product candidates could result in delays in our regulatory approval efforts and significantly increase our costs to recover or reproduce the data. Furthermore, interruptions or other disruptions of our internal information technology systems or security breaches could result in the loss, misappropriation, and/or unauthorized access, use, disclosure, or other processing of, or the prevention of access to, data (including trade secrets or other confidential information, intellectual property, proprietary business information, and personal information or individually identifiable health information), which could result in financial, legal, business, and reputational harm to us. For example, any such event that leads or perceived to lead to unauthorized access, use, disclosure, or other processing of individually identifiable health information or personal information, including such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such information, which could result in significant legal and financial exposure and reputational damages that could potentially have an adverse effect on our business.</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Some of the federal, state and foreign government requirements include obligations of companies to notify individuals of security breaches involving particular information, which could result from breaches experienced by us or by our vendors,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contractors or organizations with which we have formed strategic relationships. Notifications and follow-up actions related to a security incident could impact our reputation and cause us to incur significant costs, including legal expenses and remediation costs. We expect to incur significant costs in an effort to detect and prevent security incidents, and we may face increased costs and requirements to expend substantial resources in the event of an actual or perceived security breach or incident. We also rely on third parties to manufacture our product candidates, and similar events relating to their computer systems could also have a material adverse effect on our business. Any disruption or security incident resulting, or perceived to result, in any loss, destruction, or unauthorized alteration or other processing of, or damage to, our data (including personal information and other information relating to individuals, and our confidential or proprietary information or that of third parties), we could be exposed to claims, demands, litigation and governmental investigations and other proceedings, the further development and commercialization of our product candidates could be delayed, and we could be subject to significant fines, penalties, and other liabilities.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Our insurance policies may not be adequate to compensate us for the potential losses arising from any such disruption, failure or security breach of, or security incident of, or impacting,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utilize our net operating loss (“NOL”) carryforwards and certain other tax attributes to offset future taxable income may be limited.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Our NOL carryforwards may be unavailable to offset future taxable income because of restrictions under United States tax law. Our NOLs generated in tax years beginning before January 1, 2018 are only permitted to be carried forward for 20 taxable years under applicable United States federal tax law, and therefore could expire unused. Our federal NOLs generated in tax years beginning after December 31, 2017 may be carried forward indefinitely, but the deductibility of federal NOLs in tax years beginning after December 31, 2020 is limited to 80% of our current year taxable income. As of December 31, 2023, after consideration of the NOLs that have been estimated to expire unused under Section 382 of the Internal Revenue Code of 1986, as amended (the “Code”), we had federal NOL carryforwards of approximately $187.2 million, $44.1 million of which will begin to expire in 2030, and the remaining $143.1 million do not expire. We also have state NOL carryforwards of approximately $92.0 million available as of December 31, 2023, which begin to expire in 2037.</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 xml:space="preserve">Under Sections 382 and 383 of the Code, if a corporation undergoes an “ownership change” (generally defined as a cumulative change in the corporation’s ownership by “5-percent stockholders”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subsequent changes in our stock ownership, some of which are outside our control. </w:t>
      </w:r>
      <w:r>
        <w:rPr>
          <w:rFonts w:ascii="Times New Roman" w:cs="Times New Roman" w:eastAsia="Times New Roman" w:hAnsi="Times New Roman"/>
          <w:sz w:val="18"/>
          <w:szCs w:val="18"/>
          <w:color w:val="000000"/>
        </w:rPr>
        <w:t>To the extent such limitations will cause NOL and research and development credit carryforwards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to expire unused, these tax attributes have been removed from our deferred tax asset. </w:t>
      </w:r>
      <w:r>
        <w:rPr>
          <w:rFonts w:ascii="Times New Roman" w:cs="Times New Roman" w:eastAsia="Times New Roman" w:hAnsi="Times New Roman"/>
          <w:sz w:val="18"/>
          <w:szCs w:val="18"/>
          <w:color w:val="231F20"/>
        </w:rPr>
        <w:t>Our ability to utilize our NOLs and certain other tax attributes could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be limited by an “ownership change” as described above and consequently, we may not be able to utilize a material portion of our NOLs and certain other tax attributes, which could have a material adverse effect on our cash flows and results of operations. Limitations may also apply to state NOLs under state law.</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Changes in tax laws could materially adversely affect our financial condition.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Legislation or other changes in United States and international tax laws could increase our tax liability and adversely affect after-tax profitability. For example, beginning in 2022, the legislation commonly known as the Tax Cuts and Jobs Act of 2017, or the Tax Act, requires U.S. research and experimental expenditures to be capitalized and amortized ratably over a five-year period. Any such expenditures attributable to research conducted outside of the United States must be capitalized and amortized over a 15-year period. Further, the United States recently enacted the Inflation Reduction Act, which implemented a number of changes, including a 1% excise tax on stock buybacks and an alternative minimum tax on adjusted financial statement income. Such enacted and other proposed changes, as well as regulations and legal decisions interpreting and applying these changes, may have significant impacts on our effective tax rate, cash tax expenses and net deferred tax assets in future periods.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Intellectual Property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success depends on our ability to protect and strengthen our intellectual property and our proprietary technologies, including our ability to obtain patent term extension for our product or any future product candidates.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Our commercial success depends in part on our ability to obtain and maintain patent protection and trade secret protection in the United States and other countries for our product and product candidates, proprietary technologies and their uses, and know-how related to our business, as well as our ability to operate without infringing upon the valid and enforceable patents and proprietary rights of others. We generally seek to protect our proprietary position by filing patent applications in the United States and abroad related to our product and product candidates, proprietary technologies and their uses that are important to our business. We also seek to protect our proprietary position by acquiring or in-licensing relevant issued patents or pending applications from third parties. We also rely on trade secrets to protect aspects of our business that are not amenable to, or that we do not consider appropriate for, patent protection.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in any particular jurisdiction or that issued patents will afford sufficient protection against competitors with similar technology, nor can there be any assurance that the patents issued will not be infringed, designed around or invalidated by third parties.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Even issued patents may later be found invalid or unenforceable or may be modified or revoked in proceedings instituted by third parties before various patent offices or in courts. The degree of future protection for us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or product candidates could have a material adverse effect on our financial condition and results of operations.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Although we own or license twelve (12) issued patents in the United States, we cannot be certain that the claims in our other United States pending patent applications, corresponding international patent applications and patent applications in certain foreign territories, or those of our licensors, will be considered patentable by the United States Patent and Trademark Office (the “USPTO”), courts in the United States or by the patent offices and courts in foreign countries, nor can we be certain that the claims in our issued patent will not be found invalid or unenforceable if challenged.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patent application process is subject to numerous risks and uncertainties, and there can be no assurance that we or any of our current or potential future collaborators will be successful in protecting our product or product candidates by obtaining and defending patents. These risks and uncertainties include the following:</w:t>
      </w:r>
    </w:p>
    <w:p>
      <w:pPr>
        <w:spacing w:after="0" w:line="68" w:lineRule="exact"/>
        <w:rPr>
          <w:sz w:val="20"/>
          <w:szCs w:val="20"/>
          <w:color w:val="auto"/>
        </w:rPr>
      </w:pPr>
    </w:p>
    <w:p>
      <w:pPr>
        <w:jc w:val="both"/>
        <w:ind w:left="980" w:hanging="486"/>
        <w:spacing w:after="0" w:line="266"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patent applications may not result in any patents being issued;</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if clinical trials encounter delays, the period of time during which we could market our current or future product candidates under patent protection would be reduced;</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patents may be challenged, invalidated, modified, narrowed, revoked, circumvented, found to be unenforceable, found to be not infringed or otherwise may not provide any competitive advantage;</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competitors, many of whom have substantially greater resources than we do and many of whom have made significant investments in competing technologies, may seek or may have already obtained patents that could limit, interfere with or eliminate our ability to make, use and sell our product or potential product candidates or design around any of our owned, co-owned, or licensed patents;</w:t>
      </w:r>
    </w:p>
    <w:p>
      <w:pPr>
        <w:spacing w:after="0" w:line="6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since patent applications in the United States and most other countries are confidential for a period of time after filing, we cannot be certain that we were the first to either (i) file any patent application related to our product; or (ii) invent any of the inventions claimed in our patents or patent applications;</w:t>
      </w:r>
    </w:p>
    <w:p>
      <w:pPr>
        <w:spacing w:after="0" w:line="6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even when laws provide protection, costly and time-consuming litigation could be necessary to enforce and determine the scope of our proprietary rights, and the outcome of such litigation would be uncertain. Moreover, any actions we may bring to enforce our intellectual property against our competitors could provoke them to bring counterclaims against us;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980" w:hanging="486"/>
        <w:spacing w:after="0" w:line="266"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countries other than the United States may have patent laws less favorable to patentees than those upheld by United States courts, allowing foreign competitors a better opportunity to create, develop and market competing products or product candidates.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The patent prosecution process is also expensive, complex, and time-consuming, and we and our licensors may not be able to file and prosecute all necessary or desirable patent applications at a reasonable cost or in a timely manner or in all jurisdictions where protection may be commercially advantageous. It is also possible that we and our licensors will fail to identify patentable aspects of our (or such licensor’s) research and development output before it is too late to obtain patent protection. If we are unable to obtain or maintain patent protection with respect to any of our proprietary products and technology we develop, our business, financial condition, results of operations, and prospects could be materially harmed.</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 products.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the scope of any patent protection we obtain is not sufficiently broad, or if we lose any of our patent protection, our ability to prevent our competitors from commercializing similar or identical products or product candidates would be adversely affected.</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No consistent policy regarding the breadth of claims allowed in biotechnology and pharmaceutical patents has emerged to date in the United States or in many foreign jurisdictions. Changes in either the patent laws or interpretation of the patent laws in the United States and other countries may diminish the value of our patents or narrow the scope of our patent protection. The laws of some foreign countries do not protect our proprietary rights to the same extent as the laws of the United States, and we may encounter significant problems in protecting our proprietary rights in these countries. Our pending and future patent applications and those of our licensors may not result in patents being issued that protect our product or product candidates or effectively prevent others from commercializing competitive products or product candidates.</w:t>
      </w:r>
    </w:p>
    <w:p>
      <w:pPr>
        <w:spacing w:after="0" w:line="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231F20"/>
        </w:rPr>
        <w:t>Moreover, the coverage claimed in a patent application can be significantly reduced before the patent is issued, and our scope can be reinterpreted after issuance. Even if patent applications we own or in-licenses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in-licenses may be challenged or circumvented by third parties or may be narrowed or invalidated as a result of challenges by third parties. Consequently, we do not know whether our product or product candidates will be protectable or remain protected by valid and enforceable patents.</w:t>
      </w:r>
    </w:p>
    <w:p>
      <w:pPr>
        <w:spacing w:after="0" w:line="2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Times New Roman" w:cs="Times New Roman" w:eastAsia="Times New Roman" w:hAnsi="Times New Roman"/>
          <w:sz w:val="18"/>
          <w:szCs w:val="18"/>
          <w:i w:val="1"/>
          <w:iCs w:val="1"/>
          <w:color w:val="231F20"/>
        </w:rPr>
        <w:t>inter partes</w:t>
      </w:r>
      <w:r>
        <w:rPr>
          <w:rFonts w:ascii="Times New Roman" w:cs="Times New Roman" w:eastAsia="Times New Roman" w:hAnsi="Times New Roman"/>
          <w:sz w:val="18"/>
          <w:szCs w:val="18"/>
          <w:color w:val="231F20"/>
        </w:rPr>
        <w:t xml:space="preserve"> review (“IPR”), or other similar proceedings challenging our owned patent rights. An adverse determination in any such submission, proceeding or litigation could reduce the scope of, or invalidate or render unenforceable, our patent rights or put its patent applications at risk of not issuing, allow third parties to commercialize our product or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which challenge our priority of invention or other features of patentability with respect to our patents and patent applications and those of our licensors. Such challenges may result in loss of patent rights,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loss of exclusivity or in patent claims being narrowed, invalidated or held unenforceable, which could limit our ability to stop others from using or commercializing similar or identical technology and products, or limit the duration of the patent protection of our product or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products or product candidates. If any of our patents, if and when issued, covering our product candidates are invalidated or found unenforceable, our financial position and results of operations would be materially and adversely impacted. We may not prevail in any lawsuits that we or any third-party initiate and the damages or other remedies awarded if we were to prevail may not be commercially meaningful.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Intellectual property rights do not necessarily address all potential threats to our competitive advantage.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980" w:right="20" w:hanging="486"/>
        <w:spacing w:after="0" w:line="282"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others may be able to develop products that are similar to FYARRO or any future product candidates but that are not covered by the claims of the patents that we own or license;</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or our licensors or collaborators might not have been the first to make the inventions covered by the issued patents or patent application that we own or license;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or our licensors or collaborators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it is possible that the pending patent applications we own or license will not lead to issued patents;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issued patents that we own or license may be held invalid or unenforceable,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patents of others may have an adverse effect on our business; and</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choose not to file a patent in order to maintain certain trade secrets or know-how, and a third party may subsequently file a patent covering such intellectual property.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Should any of these events occur, it could significantly harm our business, financial condition, results of operations and prospects.</w:t>
      </w:r>
    </w:p>
    <w:p>
      <w:pPr>
        <w:spacing w:after="0" w:line="1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Our commercial success depends in part on avoiding infringement or misappropriation of the patents, intellectual property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products or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United States and foreign issued patents and pending patent applications exist in the fields in which we are developing products or product candidates. There may be third-party patents or patent applications with claims to materials, formulations, methods of manufacture or methods for treatment related to the use or manufacture of our product or product candidates.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As the biopharmaceutical industry expands and more patents are issued, the risk increases that our product or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our product or any of our product candidates, and we cannot be certain that we were the first to file a patent application related to a product or technology. Moreover, because patent applications can take many years to issue, and because patent claims can be revised before issuance, there may be currently pending patent applications that may later result in issued patents that our product or product candidates may infringe or which such third parties claim are infringed by our technologies.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If a patent holder believes one or more of our products or product candidates infringes such holder’s patent rights, the patent holder may sue us even if we have received patent protection. Moreover, we may face patent infringement claims from non-practicing entities that have no relevant drug revenue and against whom our own patent portfolio may thus have no deterrent effect. Any claims of patent infringement asserted by third parties would be time consuming and could:</w:t>
      </w:r>
    </w:p>
    <w:p>
      <w:pPr>
        <w:spacing w:after="0" w:line="89" w:lineRule="exact"/>
        <w:rPr>
          <w:sz w:val="20"/>
          <w:szCs w:val="20"/>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result in costly litigation that may cause negative publicity;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divert the time and attention of our technical personnel and management;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cause development delays;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prevent us from commercializing any of our product candidates until the asserted patent expires or is held finally invalid or not infringed in a court of law;</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require us to develop non-infringing technology, which may not be possible on a cost-effective basis;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subject us to significant liability to third parties; or</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Although no third party has asserted a claim of patent infringement against us as of the date of this Annual Report, others may hold proprietary rights that could prevent FYARRO or our other product candidates that we may develop in the future from being marketed. For example, various patent offices periodically grant mode of action patents and a third party may have or obtain a patent with claims covering modes of action relevant to our product or product candidates. While these mode of action patents may be difficult to enforce, the third party may assert a claim of patent infringement directed at FYARRO or any other product candidate we may develop in the future. Any patent-related legal action or any claim relating to intellectual property infringement that is successfully asserted against us claiming damages and seeking to enjoin commercial activities relating to our products or processes could subject us to significant liability for damages, including treble damages and attorney’s fees if it was determined that we willfully infringed, and require us to obtain a license to manufacture or market our product or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or future strategic partners were able to obtain a license, the rights may be nonexclusive, which could result in our competitors gaining access to the same intellectual property. In addition, we cannot be certain that we could redesign our product or product candidates or processes to avoid infringement, if necessary. Accordingly, an adverse determination in a judicial or administrative proceeding, or the failure to obtain necessary licenses, could prevent or delay us from developing and commercializing our product or product candidates, which could harm our business, financial condition and operating results. In addition, intellectual property litigation, regardless of our outcome, may cause negative publicity and could prohibit us from marketing or otherwise commercializing our product or product candidates and technology.</w:t>
      </w:r>
    </w:p>
    <w:p>
      <w:pPr>
        <w:spacing w:after="0" w:line="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not be successful in obtaining or maintaining necessary rights to our product or product candidates that we may develop in the future through acquisitions and in-licenses.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or product candidates that we may develop in the future.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may also be unable to license or acquire third-party intellectual property rights on terms that would be favorable to us or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be involved in lawsuits or other proceedings to protect or enforce our patents or intellectual property or our licensors’ patents or intellectual property, which could be expensive, time consuming and unsuccessful. Further, our issued patents or our licensors’ patents could be found invalid or unenforceable if challenged in court.</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Competitors and other third parties may infringe, misappropriate, or otherwise violate our patents and other intellectual property rights. To prevent infringement or unauthorized use, we may be required to file infringement claims, which can be expensive and time-consuming and divert the attention of our management and key personnel from our business operations.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products or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of the patent application.</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our licensors’ patents in such a way that such patents no longer cover our technology or platform, product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product or any product candidates that we may develop. Such a loss of patent protection would have a material adverse impact on our business, financial condition, results of operations and prospects.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The outcome following legal assertions of invalidity and/or unenforceability is unpredictable, and prior art could render our patents or our licensors’ patents invalid. There is no assurance that all potentially relevant prior art relating to our patents and patent applications, or the patents and patent applications of our licensors has been found.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If a defendant were to prevail on a legal assertion of invalidity and/or unenforceability, we may lose at least part, and perhaps all, of the patent protection on such product or product candidate. 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products or product candidates. Such a loss of patent protection would have a material adverse impact on our business.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Intellectual property litigation may lead to unfavorable publicity that harms our reputation and causes the market price of our common shares to decline.</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product or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Derivation proceedings may be necessary to determine priority of inventions, and an unfavorable outcome may require us to cease using the related technology or to attempt to license rights from the prevailing party.</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or product candidates to market.</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Patent reform legislation could increase the uncertainties and costs surrounding the prosecution of our patent applications or those of our licensors and the enforcement or defense of our issued patents or those of our licensors.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On September 16, 2011, the Leahy-Smith America Invents Act (the “Leahy-Smith Act”), was signed into law. The Leahy-Smith Act includes a number of significant changes to United States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file any patent application related to our product or product candidates or invent any of the inventions claimed in the patents or patent applications.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proceeding could reduce the scope or enforceability of, or invalidate, our patent rights, which could adversely affect our competitive position.</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Changes in United States patent law, or laws in other countries, could diminish the value of patents in general, thereby impairing our ability to protect our product or product candidates.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For example,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United States Congress, the United States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subject to claims challenging the inventorship or ownership of our patents and other intellectual property.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We may also be subject to claims that our former employees or our licensors or other third parties have an ownership interest in our patents or other intellectual property. Confidentiality and intellectual property assignment agreements may not be honored and may not effectively assign intellectual property rights to us. The assignment of intellectual property rights under these agreements may not be automatic upon the creation of the intellectual property or the assignment agreements may be breached, and we may be forced to bring claims against third parties, or defend claims that they may bring against it, to determine the ownership of what we regard as our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Patent terms may be inadequate to protect our competitive position on our product or product candidates that we may develop in the future for an adequate amount of time.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Patents have a limited lifespan. In the United States, if all maintenance fees are timely paid, the natural expiration of a patent is generally 20 years from its earliest United States non-provisional effective filing date. Various extensions may be available, but the life of a patent, and the protection it affords, is limited. Even if patents covering our product or product candidates that we may develop in the future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us.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do not obtain patent term extension for our product or product candidates that we may develop in the future, our business may be materially harmed.</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 xml:space="preserve">In January 2022, we filed an application for patent term extension based on the approval of FYARRO for </w:t>
      </w:r>
      <w:r>
        <w:rPr>
          <w:rFonts w:ascii="Times New Roman" w:cs="Times New Roman" w:eastAsia="Times New Roman" w:hAnsi="Times New Roman"/>
          <w:sz w:val="18"/>
          <w:szCs w:val="18"/>
          <w:color w:val="000000"/>
        </w:rPr>
        <w:t>advanced malignant PEComa</w:t>
      </w:r>
      <w:r>
        <w:rPr>
          <w:rFonts w:ascii="Times New Roman" w:cs="Times New Roman" w:eastAsia="Times New Roman" w:hAnsi="Times New Roman"/>
          <w:sz w:val="18"/>
          <w:szCs w:val="18"/>
          <w:color w:val="231F20"/>
        </w:rPr>
        <w:t>. Depending upon the timing, duration and specifics of FDA regulatory approval of our product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candidates that we may develop in the future, one or more of our United States patents or those of our licensors may also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protect our intellectual property rights throughout the world.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Although we own, co-own, or have exclusively licensed at least twelve (12) issued patents in the United States and pending patent applications in the United States and other countries, filing, prosecuting and defending patents on our product or product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In addition, the statutory deadlines for pursuing patent protection in individual foreign jurisdictions are based on the priority date of each of our patent applications and we may not timely file foreign patent applications.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the complexity and uncertainty of European patent laws have increased in recent years.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which will be subject to the jurisdiction of the Unitary Patent Court (the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these changes.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Competitors may use our technologies in jurisdictions where we do not pursue or have not obtained patent protection to develop their own products and, further, may export otherwise infringing products to territories where we have patent protection, but enforcement is not as strong as that in the United States. These products may compete with our product or product candidates, and our patents, the patents of our licensors,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Many companies have encountered significant problems in protecting and defending intellectual property rights in certain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Many countries have compulsory licensing laws under which a patent owner may be compelled to grant licenses to third parties. In addition, many countries limit the enforceability of patents against third parties, including government agencies or government contractors. In these countries, the patent owner may have limited remedies, which could materially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5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Periodic maintenance fees, renewal fees, annuity fees and various other governmental fees on our owned and in-licensed patents and/or applications will be due to be paid to the USPTO and various foreign patent offices at various points over the lifetime of our patents and/or applications and those of our licensors and any patent rights we may own or license in the future. We have systems in place to remind us to pay these fees, and, in certain instances, we rely on our licensor partners to pay these fees when due. Additionally, the USPTO and various foreign patent offices require compliance with a number of procedural, documentary, fee payment and other similar provisions during the patent application process and over the lifetime of our owned patents and applications.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competitors or other third parties might be able to enter the market earlier than would otherwise have been the case and it could have a material adverse effect on our business, financial condition, results of operations and prospects.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are unable to protect the confidentiality of our trade secrets, our business and competitive position would be harmed.</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 xml:space="preserve">We also rely on trade secrets to protect aspects of our business that are not amenable to, or that we do not consider appropriate for, patent protection. In addition, we rely on the protection of our trade secrets, including unpatented know-how, technology and other proprietary information to maintain our competitive position. However, trade secrets are difficult to protect. For example, we may be required to share our trade secrets with third-party licensees, collaborators, consultants, contractors, or other advisors and we have limited control over the protection of trade secrets used by such third parties. Although we have taken steps to protect our trade secrets and unpatented know-how, including by entering into confidentiality agreements with third parties </w:t>
      </w:r>
      <w:r>
        <w:rPr>
          <w:rFonts w:ascii="Times New Roman" w:cs="Times New Roman" w:eastAsia="Times New Roman" w:hAnsi="Times New Roman"/>
          <w:sz w:val="18"/>
          <w:szCs w:val="18"/>
          <w:color w:val="000000"/>
        </w:rPr>
        <w:t>a</w:t>
      </w:r>
      <w:r>
        <w:rPr>
          <w:rFonts w:ascii="Times New Roman" w:cs="Times New Roman" w:eastAsia="Times New Roman" w:hAnsi="Times New Roman"/>
          <w:sz w:val="18"/>
          <w:szCs w:val="18"/>
          <w:color w:val="231F20"/>
        </w:rPr>
        <w:t>nd confidential information and inventions agreements with employees, consultants and advisors, we cannot provide any assurances that all such agreements have been duly executed or that they have been obtained in all circumstances, and it is possible that any of these parties may breach the agreements and may unintentionally or willfully disclose our proprietary information, including our trade secrets, and we may not be able to obtain adequate remedies for such breaches. 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Enforcing a claim that a party illegally obtained, disclosed, used or misappropriated a trade secret is difficult, expensive and time-consuming, and the outcome is unpredictable. In addition, some courts inside and outside the United States are less willing or unwilling to protect trade secrets.</w:t>
      </w:r>
    </w:p>
    <w:p>
      <w:pPr>
        <w:spacing w:after="0" w:line="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Moreover, third parties may still obtain this information or may come upon this or similar information independently, and we would have no right to prevent them from using that technology or information to compete with us. Furthermore,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because of the substantial amount of discovery required in connection with intellectual property litigation or other proceedings, there is a risk that some of our confidential information could be compromised by disclosure during this type of litigation or proceedings. If any of these events occurs or if we otherwise lose protection for our trade secrets or confidential or proprietary information, the value of this information may be greatly reduced, and our competitive position in the marketplace, business, financial condition, results of operations and prospects may be materially adversely affected.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that we or our employees, consultants or advisors have wrongfully used or disclosed alleged confidential information or trade secrets.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We have entered into and will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consultants or advisors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or product candidates and technology. Failure to defend against any such claim could subject us to significant liability for monetary damages or prevent or delay our developmental and commercialization efforts, which could adversely affect our business.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that we have wrongfully hired an employee from a competitor or that we or our employees have wrongfully used or disclosed alleged confidential information or trade secrets of their former employers.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As is common in the pharmaceutical industry, in addition to our employees, we engage the services of consultants to assist us in the development of our product or any future product candidates. Many of these consultants, and many of our employees, were previously employed at, or may have previously provided or may be currently providing consulting services to, other pharmaceutical companies including competitors or our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technology, product and product candidates that we may develop in the future may be subject, in part, to the terms and conditions of licenses granted to us by others.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license agreements with third parties and we may enter into additional license agreements in the future with others to advance our research or allow commercialization of our product or product candidates that we may develop in the future.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had licensed may be reduced or eliminated, and our rights to develop and commercialize any of our products that are subject of such licensed rights could be adversely affected.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product, product candidates, or the methods for manufacturing them or to develop or license replacement technology, all of which may not be feasible on a technical or commercial basis. If we are unable to do so, we may be unable to develop or commercialize the affected product or product candidates, which could harm our business, financial condition, results of operations, and prospects significantly. We cannot provide any assurances that third-party patents do not exist which might be enforced against our current technology, manufacturing methods, product or future methods or product candidates resulting in either an injunction prohibiting our manufacture, sales or future sales, or, with respect to our future sales, an obligation on our part to pay royalties and/or other forms of compensation to third parties, which could be significant.</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Disputes may arise between us and our licensors regarding intellectual property subject to a license agreement, including:</w:t>
      </w:r>
    </w:p>
    <w:p>
      <w:pPr>
        <w:spacing w:after="0" w:line="117"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rights to third parties;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us and our licensors and partners;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candidates, which could have a material adverse effect on our business, financial conditions, results of operations, and prospects.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patent protection and patent prosecution for our product and product candidates that we may develop in the future may be dependent on third parties.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normally seek to obtain the right to control prosecution, maintenance and enforcement of the patents relating to our product or product candidates that we may develop in the future, there may be times when the filing and prosecution activities for patents are controlled by our licensors or collaboration partners, including those licensed to us under our license agreements. If any of our licensors or collaboration partners fail to prosecute, maintain and enforce such patents and patent applications in a manner consistent with the best interests of our business, including by payment of all applicable fees for patents covering our product or product candidates that we may develop in the future, we could lose our rights to the intellectual property or our exclusivity with respect to those rights, our ability to develop and commercialize our product or those product candidates may be adversely affected and we may not be able to prevent competitors from making, using and selling competing products. We collaborate with other companies and institutions with respect to research and development matters. Also, we rely on numerous third parties to provide us with materials that we use to develop our technology. If we cannot successfully negotiate sufficient ownership, licensing, and/or commercial rights to any invention that result from our use of any third-party collaborator’s materials, or if disputes arise with respect to the intellectual property developed with the use of a collaborator’s materials, or data developed in a collaborator’s study, our ability to capitalize on the market potential of these inventions or developments may be limited or precluded altogether. In addition, even where we have the right to control patent prosecution of patents and patent applications we have licensed to</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from third parties, we may still be adversely affected or prejudiced by actions or inactions of our licensees, our licensors and their counsel that took place prior to the date upon which we assumed control over patent prosecution.</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Intellectual property discovered through government funded programs may be subject to federal regulations such as “march-in” rights, certain reporting requirements and a preference for United States-based companies. Compliance with such regulations may limit our exclusive rights and limit our ability to contract with non-United States manufacturers.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Our licensed patent applications may have been or may be in the future supported through the use of United States government funding awarded by the National Institute of Health or the FDA Office of Orphan Products Development and the Army Medical Research and Development Command. Although we do not currently own issued patents or pending patent applications that have been generated through the use of United States government funding, we have licensed, or may acquire or license in the future, intellectual property rights that have been generated through the use of United States government funding or grant. Pursuant to the Bayh-Dole Act of 1980, the United States government has certain rights in inventions developed with government funding. These United States government rights include a non-exclusive, non-transferable, irrevocable worldwide license to use inventions for any governmental purpose. In addition, the United States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(“march-in rights”). The United States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any of these inventions or produced through the use of any of these inventions be manufactured substantially in the United States. This preference for United States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industry may limit our ability to contract with non-United States product manufacturers for products covered by such intellectual property.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General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legal proceedings, including the EOC dispute, may substantially increase our costs and harm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13 (Commitments and contingencies) to the consolidated financial statements in Part II, Item 8 of this Annual Report on Form 10-K, we have been, are, and may in the future become, party to lawsuits and legal proceedings including, without limitation, actions and proceedings in the ordinary course of business relating to our collaboration partners, directors, officers, stockholders, intellectual property rights, employment matters and the safety or efficacy of our products, which will cause us to incur legal fees and other costs related thereto, including potential expenses for the reimbursement of legal fees of officers and directors under indemnification obligations. On June 27, 2022, EOC filed a Request for Arbitration with the International Chamber of Commerce’s International Court of Arbitration against us. In the Request for Arbitration, EOC claims that we breached certain provisions of the EOC License Agreement, including failing to provide certain manufacturing information to EOC. As a result, EOC is seeking monetary damages. The arbitration process is ongoing.</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expense of defending against such litigation and legal proceedings may be significant and there can be no assurance that we will be successful in any defense. Further, the amount of time that may be required to resolve such lawsuits or legal proceedings is unpredictable, and these actions may divert management’s attention from the day-to-day operations of our business, which could adversely affect our business, results of operations, and cash flows.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consolidated operations, cash flows and financial position. Additionally, any such claims, whether or not successful, could damage our reputation and business. Litigation and legal proceedings are subject to inherent uncertainties, and an adverse result in such matters that may arise from time to time could have a material adverse effect on our business, results of operations, and financial condition.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stock price is volatile.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market price of our common stock could be subject to significant fluctuations. From the completion of the Merger on August 26, 2021 through March 1, 2024, the closing price for our common stock ranged from a low of $1.59 to a high of $33.00 per share.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72" w:lineRule="exact"/>
        <w:rPr>
          <w:sz w:val="20"/>
          <w:szCs w:val="20"/>
          <w:color w:val="auto"/>
        </w:rPr>
      </w:pPr>
    </w:p>
    <w:p>
      <w:pPr>
        <w:ind w:left="980" w:hanging="486"/>
        <w:spacing w:after="0" w:line="282" w:lineRule="auto"/>
        <w:tabs>
          <w:tab w:leader="none" w:pos="9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obtain regulatory approvals for FYARRO in other indications or for any other product candidates that we may develop in the future, and delays or failures to obtain such approvals;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results of current, and any future, nonclinical or clinical trials of FYARRO or any of our product candidates that we may develop in the future;</w:t>
      </w:r>
    </w:p>
    <w:p>
      <w:pPr>
        <w:spacing w:after="0" w:line="53" w:lineRule="exact"/>
        <w:rPr>
          <w:rFonts w:ascii="Times New Roman" w:cs="Times New Roman" w:eastAsia="Times New Roman" w:hAnsi="Times New Roman"/>
          <w:sz w:val="18"/>
          <w:szCs w:val="18"/>
          <w:color w:val="231F20"/>
        </w:rPr>
      </w:pPr>
    </w:p>
    <w:p>
      <w:pPr>
        <w:ind w:left="980" w:hanging="486"/>
        <w:spacing w:after="0" w:line="282" w:lineRule="auto"/>
        <w:tabs>
          <w:tab w:leader="none" w:pos="975"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failure of FYARRO or any product candidates that we may develop in the future, if approved for marketing and commercialization, to achieve commercial success;</w:t>
      </w:r>
    </w:p>
    <w:p>
      <w:pPr>
        <w:spacing w:after="0" w:line="53" w:lineRule="exact"/>
        <w:rPr>
          <w:rFonts w:ascii="Times New Roman" w:cs="Times New Roman" w:eastAsia="Times New Roman" w:hAnsi="Times New Roman"/>
          <w:sz w:val="18"/>
          <w:szCs w:val="18"/>
          <w:color w:val="231F20"/>
        </w:rPr>
      </w:pPr>
    </w:p>
    <w:p>
      <w:pPr>
        <w:ind w:left="980" w:hanging="486"/>
        <w:spacing w:after="0" w:line="282" w:lineRule="auto"/>
        <w:tabs>
          <w:tab w:leader="none" w:pos="9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any inability to obtain adequate supply of FYARRO or any of our product candidates that we may develop in the future or the inability to do so at acceptable prices;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entry into, or termination of, key agreements, including key licensing, supply or collaboration agreements;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adverse regulatory authority decisions;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initiation of material developments in, or conclusion of, disputes or litigation to enforce or defend any of our intellectual property rights or defend against the intellectual property rights of others;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in laws or regulations applicable to FYARRO or any of our product candidates that we may develop in the future;</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announcements by commercial partners or competitors of new commercial products, clinical progress (or the lack thereof), significant contracts, commercial relationships, or capital commitments;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failure to meet or exceed financial and development projections we may provide to the public;</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failure to meet or exceed the financial and development projections of the investment community;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perception of the pharmaceutical industry by the public, legislatures, regulators and the investment community;</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general market conditions and other factors unrelated to our operating performance or the operating performance of our competitors, including turmoil in the global banking system, deteriorating market conditions due to investor concerns regarding inflation, and conflicts in Ukraine and the Middle East;</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adverse publicity relating to our markets, including with respect to other products and potential products in such markets;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introduction of technological innovations or new therapies competing with our products and potential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announcements of significant acquisitions, strategic collaborations,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loss of key employees;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if securities or industry analysts do not publish research or reports about our business, or if they issue an adverse or misleading opinion regarding our business and stock;</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general and industry-specific economic conditions potentially affecting our research and development expenditures;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sales of our common stock by us or our stockholders in the future, or the anticipation thereof;</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trading volume of our common stock;</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in the structure of health care payment systems;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adverse regulatory decisions;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trading volume of our common stock;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period-to-period fluctuations in our financial results.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In the past, following periods of volatility in the market price of a company’s securities, stockholders have often instituted class action securities litigation against those companies. Regardless of the merits or the ultimate results of such litigation, if instituted, such litigation could result in substantial costs and diversion of management’s attention and resources, which could significantly harm our profitability and reputation.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Additionally, a decrease in our stock price may cause our common stock to no longer satisfy the continued listing standards of Nasdaq. If we are not able to maintain the requirements for listing on Nasdaq, we could be delisted, which could have a materially adverse effect on our ability to raise additional funds as well as the price and liquidity of our common stock.</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 xml:space="preserve">We must maintain effective internal control over financial reporting in order to accurately and timely report our results of operations and financial condition. In addition, as a public company, the Sarbanes-Oxley Act requires, among other things, that we assess the effectiveness of our disclosure controls and procedures quarterly and the effectiveness of our internal control over financial reporting at the end of each fiscal year. </w:t>
      </w:r>
      <w:r>
        <w:rPr>
          <w:rFonts w:ascii="Times New Roman" w:cs="Times New Roman" w:eastAsia="Times New Roman" w:hAnsi="Times New Roman"/>
          <w:sz w:val="18"/>
          <w:szCs w:val="18"/>
          <w:color w:val="000000"/>
        </w:rPr>
        <w:t>We rely heavily 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direct management oversight of transactions, along with the use of legal and outsourced accounting professionals. As we grow, we plan to hire additional personnel and engage external temporary resources and may implement, document, and modify policies and procedures to maintain effective internal controls. However, we may identify deficiencies and weaknesses or fail to remediate previously identified deficiencies in our internal controls.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are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management makes judgments and assumptions regarding our product sales based on our interpretation of ASC Topic 606, Revenue from Contracts with Customer ("Topic 606"). The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will continue to incur significant increased costs and management resources as a result of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As a public company, we will continue to incur significant legal, accounting, compliance and other expenses that we did not incur as a private company and these expenses may increase even more since we are no longer an “emerging growth company.” Our management and other personnel will need to devote a substantial amount of time and incur significant expense in connection with compliance initiatives. As a public company, we will continue to bear all of the internal and external costs of preparing and distributing periodic public reports in compliance with our obligations under the securities laws. 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There can be no assurance that we will be able to comply with the continued listing standards of Nasdaq.</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If Nasdaq delists our shares of common stock from trading on its exchange for failure to meet Nasdaq’s listing standards, we and our stockholders could face significant material adverse consequences including:</w:t>
      </w:r>
    </w:p>
    <w:p>
      <w:pPr>
        <w:spacing w:after="0" w:line="54" w:lineRule="exact"/>
        <w:rPr>
          <w:sz w:val="20"/>
          <w:szCs w:val="20"/>
          <w:color w:val="auto"/>
        </w:rPr>
      </w:pPr>
    </w:p>
    <w:p>
      <w:pPr>
        <w:ind w:left="980" w:hanging="486"/>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limited availability of market quotations for our securities;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reduced liquidity for our securities;</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limited amount of new and analyst coverage;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decreased ability to issue additional securities or obtain additional financing in the future.</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Sales of a substantial number of shares of our common stock in the public market, including by our existing stockholders, could cause our stock price to fall.</w:t>
      </w:r>
    </w:p>
    <w:p>
      <w:pPr>
        <w:spacing w:after="0" w:line="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these sales and others may have on the prevailing market price of our common stock.</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 xml:space="preserve">On April 8, 2021, we filed a universal shelf registration statement on Form S-3 (the “Prior Registration Statement”) to offer up to $150 million of our securities, which expires on April 15, 2024, which </w:t>
      </w:r>
      <w:r>
        <w:rPr>
          <w:rFonts w:ascii="Times New Roman" w:cs="Times New Roman" w:eastAsia="Times New Roman" w:hAnsi="Times New Roman"/>
          <w:sz w:val="18"/>
          <w:szCs w:val="18"/>
          <w:color w:val="000000"/>
        </w:rPr>
        <w:t>may be replaced by our shelf registration statement on Form S-3 (File No. 333-277018) (the “New</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Registration Statement”), which was filed with the SEC on February 12, 2024, and which has not yet become effective. No securities have yet been sold under the Prior Registration Statement. The Prior Registration Statement will expire on April 15, 2024, the third anniversary of its effective date, but may continue to be used until the New Registration Statement becomes effective or until 180 days after the third anniversary of the Prior Registration Statement, whichever is earlier, as provided in Securities Act Rule 415</w:t>
      </w:r>
      <w:r>
        <w:rPr>
          <w:rFonts w:ascii="Times New Roman" w:cs="Times New Roman" w:eastAsia="Times New Roman" w:hAnsi="Times New Roman"/>
          <w:sz w:val="18"/>
          <w:szCs w:val="18"/>
          <w:color w:val="231F20"/>
        </w:rPr>
        <w:t>. We have established, and may in the future establish, “at-the-market” programs pursuant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which we may offer and sell shares of our common stock pursuant to the Prior Shelf Registration Statement or New Shelf Registration Statement. SEC rules provide that companies with a public float of less than $75 million may only sell shares under a Form S-3 shelf registration statement, during any 12-month period, in an amount less than or equal to one-third of the public float. If we do not meet this public float requirement, any offering by us under the Shelf Registration Statement or any future registration statement on Form S-3 that we may file with the SEC will be limited to raising an aggregate of one-third of our public float in any 12-month period.</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Our directors and employees may sell our stock through 10b5-1 trading plans or in the market during open windows under our insider trading policy without such plans in place. Sales of our common stock by our officers, directors, holders of 5% or more of our capital stock and their respective affiliates, and employees could be perceived negatively by investors or cause downward pressure on our common stock and cause a reduction in the price of our common stock as a result. We have also registered shares of our common stock that we may issue under our employee equity incentive plans. These shares will be able to be sold freely in the public market upon issuance.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SEC regulations limit the amount of funds that we can raise during any 12-month period pursuant to a shelf registration statement on Form S-3.</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SEC regulations limit the amount that companies with a public float of less than $75 million may raise during any 12-month period pursuant to a shelf registration statement on Form S-3. As of the filing of this Annual Report on Form 10-K, we are subject to General Instruction I.B.6 to Form S-3, referred to as the baby shelf rules. Under these regulations, the amount of funds we can raise through primary public offerings of securities in any 12-month period using a registration statement on Form S-3 is limited to one-third of the aggregate market value of the shares of our common stock held by non-affiliates of the Company. Therefore, we will be limited in the amount of proceeds we are able to raise by selling shares of our common stock using a Form S-3 until such time as our public float exceeds $75 million. Furthermore, if we are required to file a new registration statement on another form, it may incur additional costs and be subject to delays due to review by the SEC staff.</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principal stockholders and management own a significant percentage of our common stock and will be able to exert significant control over matters subject to stockholder approval.</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Our executive officers, directors, holders of 5% or more of our capital stock and their respective affiliates beneficially own a significant portion of our outstanding voting stock.</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These stockholders, acting together, may be able to impact matters requiring stockholder approval. For example, they may be able to impact the elections of directors, amendments to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 and they may act in a manner that advances their best interests and not necessarily those of other stockholders, including seeking a premium value for their common stock, and might affect the prevailing market price for our common stock.</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Unfavorable market and global economic conditions as a result of multiple global events, such as the COVID-19 pandemic, adverse developments affecting the financial services industry, the conflicts in Ukraine and the Middle East, increasing interest rates and general economic downturns, could adversely affect our business, financial condition or results of operations.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While the potential economic impact brought by multiple adverse global circumstances, such as the COVID-19 pandemic, conflicts in Ukraine and the Middle East, potential uncertainty related to Taiwan and its relationship with China, increasing interest rates, adverse developments affecting the financial services industry and general economic downturns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FYARRO or our any of our future product candidates and our ability to raise additional capital when needed on acceptable terms, if at all. A weak or declining economy could also strain our suppliers, possibly resulting in supply disruption, or cause our customers to delay making payments for our services. In the event of prolonged business interruptions due to geopolitical events, we could incur significant losses, require substantial recovery time and experience significant expenditures in order to resume our business or clinical operations. We have no operations in the Middle East, Russia, Belarus or Ukraine, but we do not and cannot know if the current uncertainties in these geopolitical areas, which are unfolding in real-time, may escalate and result in broad economic and security conditions or rationing of medical supplies, which could limit our ability to conduct clinical trials outside the United States or result in material implications for our business. In addition, our insurance policies typically contain a war exclusion of some description and we do not know how our insurers are likely to respond in the event of a loss alleged to have been caused by geopolitical uncertainties. Any of the foregoing could harm our business and we cannot anticipate all of the ways in which the current economic climate and financial market conditions could adversely impact our business.</w:t>
      </w:r>
    </w:p>
    <w:p>
      <w:pPr>
        <w:spacing w:after="0" w:line="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(the “FDIC”), as receiver, and on March 27, 2023, First-Citizens Bank &amp; Trust Company assumed all of SVB's customer deposits and certain other liabilities and acquired substantially all of SVB's loans and certain other assets from the FDIC. Similarly, on March 12, 2023, Signature Bank and Silvergate Capital Corp. were each</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swept into receivership. </w:t>
      </w:r>
      <w:r>
        <w:rPr>
          <w:rFonts w:ascii="Times New Roman" w:cs="Times New Roman" w:eastAsia="Times New Roman" w:hAnsi="Times New Roman"/>
          <w:sz w:val="18"/>
          <w:szCs w:val="18"/>
          <w:color w:val="000000"/>
        </w:rPr>
        <w:t>While we only had a minimal amount of our cash directly at SVB and, since that date, the FDIC has stated that all depositors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SVB would be made whole, and First-Citizens Bank &amp; Trust Company has assumed our deposits from SVB, there is no guarantee that the federal government would guarantee all depositors as they did with SVB depositors in the event of further bank closures and continued instability in the global banking system may adversely impact our business and financial condition.</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Our operations and performance may be affected by political or civil unrest or military action, including the current conflicts in Ukraine and the Middle East, terrorist activity, unstable governments and legal systems. As a result of global economic conditions, some third-party payers may delay or be unable to satisfy their reimbursement obligations. Job losses or other economic hardships may also affect patients’ ability to afford healthcare as a result of increased co-pay or deductible obligations, greater cost sensitivity to existing co-pay or deductible obligations, lost healthcare insurance coverage or for other reasons. Our ability to conduct clinical trials in regions experiencing political or civil unrest could negatively affect clinical trial enrollment or the timely completion of a clinical trial. We believe the aforementioned economic conditions could lead to reduced demand for our drug products, which could have a material adverse effect on our revenues, business and results of operations.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December 31, 2023, we had cash, cash equivalents and short-term investments of </w:t>
      </w:r>
      <w:r>
        <w:rPr>
          <w:rFonts w:ascii="Times New Roman" w:cs="Times New Roman" w:eastAsia="Times New Roman" w:hAnsi="Times New Roman"/>
          <w:sz w:val="18"/>
          <w:szCs w:val="18"/>
          <w:color w:val="231F20"/>
        </w:rPr>
        <w:t>$108.8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million</w:t>
      </w:r>
      <w:r>
        <w:rPr>
          <w:rFonts w:ascii="Times New Roman" w:cs="Times New Roman" w:eastAsia="Times New Roman" w:hAnsi="Times New Roman"/>
          <w:sz w:val="18"/>
          <w:szCs w:val="18"/>
          <w:color w:val="000000"/>
        </w:rPr>
        <w:t>, consisting of U.S. government treasury bills, commercial paper, corporate debt securities, and government agency bonds. Any default by the U.S.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government or credit downgrade of the securities we hold could impact the liquidity or valuation of our investments.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wildfires and other natural disasters, and our business continuity and disaster recovery plans may not adequately protect us from a serious disaster.</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Any unplanned event, such as flood, fire, explosion, earthquake, extreme weather condition, medical epidemics, such as the COVID-19 pandemic, power shortage, telecommunication failure, cyberattacks, geopolitical tensions, including those related to the conflicts in Ukraine and the Middle East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 or interruption of our business operations. Earthquakes, wildfires or other natural disasters could further disrupt our operations, including at our California headquarters,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research and development programs may be harmed. Any business interruption may have a material and adverse effect on our business, financial condition, results of operations and prospects.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a smaller reporting company. We cannot be certain whether the reduced disclosure requirements applicable to smaller reporting companies will make our common stock less attractive to investors or otherwise limit our ability to raise additional funds.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We are a “smaller reporting company” under applicable securities regulations. A smaller reporting company is a company that (i) as of the last business day of its most recently completed second fiscal quarter has an aggregate market value of the company’s voting stock held by non-affiliates, or public float, of less than $250 million or (ii) for the most recently completed fiscal year has less than $100 million in revenue and as of the last business day of its most recently completed second fiscal quarter has less than $700 million in public float. In addition, a smaller reporting company is able to provide simplified executive compensation disclosures in its filings and has certain other reduced disclosure obligations in our SEC filings, including, among other things, only being required to provide two years of audited financial statements in annual reports. Reduced disclosure in our SEC filings due to our status as a smaller reporting company may make it harder for investors to analyze our results of operations and financial prospects.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do not anticipate that we will pay any cash dividends in the foreseeable future.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The current expectation is that we will retain our future earnings, if any, to fund the development and growth of our business. As a result, capital appreciation, if any, of our common stock will be stockholders’ sole source of gain, if any, for the foreseeable future.</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The trading market for our common stock will be influenced by the research and reports that industry or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Anti-takeover provisions in our charter documents and under Delaware law could make an acquisition of us more difficult and may prevent attempts our stockholders to replace or remove our management.</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Provisions in our amended and restated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 addition, because we are incorporated in Delaware, we are governed by the provisions of Section 203 of the Delaware General Corporation Law (the “DGCL”), which prohibits stockholders owning in excess of 15% of our outstanding voting stock from merging or combining with us in certain circumstances.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Our bylaws provide that the Court of Chancery of the State of Delaware (or, if the Court of Chancery of the State of Delaware does not have jurisdiction, the federal district court for the District of Delaware) is the sole and exclusive forum for any state law claims for (i) any derivative action or proceeding brought on our behalf, (ii) any action asserting a breach of fiduciary duty owed by any of our directors, officers or other employees or our stockholders to us or our stockholders, (iii) any action asserting a claim against us arising pursuant to any provisions of the DGCL, or as to which the DGCL confers jurisdiction on the Court of Chancery of the State of Delaware, our amended and restated certificate of incorporation or our bylaws (including the interpretation, validity or enforceability thereof), or (iv) any action asserting a claim against us that is governed by the internal affairs doctrine; provided, that these choice of forum provisions do not apply to suits brought to enforce a duty or liability created by the Securities Act, the Exchange Act, or any other claim for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which the federal courts have exclusive jurisdiction. Furthermore, Section 22 of the Securities Act creates concurrent jurisdiction for federal and state courts over all such Securities Act actions. The amended and restated bylaws provide that the federal district courts are the exclusive forum for resolving any complaint asserting a cause of action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the bylaws to be inapplicable or unenforceable in an action, we may incur additional costs associated with resolving such action in other jurisdictions, which could adversely affect our business and financial condition. Any person or entity purchasing or otherwise acquiring any interest in shares of our capital stock shall be deemed to have notice of and to have consented to the provisions of our bylaws described above.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established policies and processes for assessing, identifying, and managing material risk from cybersecurity threats, and have </w:t>
      </w:r>
      <w:r>
        <w:rPr>
          <w:rFonts w:ascii="Times New Roman" w:cs="Times New Roman" w:eastAsia="Times New Roman" w:hAnsi="Times New Roman"/>
          <w:sz w:val="18"/>
          <w:szCs w:val="18"/>
          <w:color w:val="211D1E"/>
        </w:rPr>
        <w:t>integrated these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D1E"/>
        </w:rPr>
        <w:t xml:space="preserve">processes into our overall risk management systems and processes. </w:t>
      </w:r>
      <w:r>
        <w:rPr>
          <w:rFonts w:ascii="Times New Roman" w:cs="Times New Roman" w:eastAsia="Times New Roman" w:hAnsi="Times New Roman"/>
          <w:sz w:val="18"/>
          <w:szCs w:val="18"/>
          <w:color w:val="000000"/>
        </w:rPr>
        <w:t>We r</w:t>
      </w:r>
      <w:r>
        <w:rPr>
          <w:rFonts w:ascii="Times New Roman" w:cs="Times New Roman" w:eastAsia="Times New Roman" w:hAnsi="Times New Roman"/>
          <w:sz w:val="18"/>
          <w:szCs w:val="18"/>
          <w:color w:val="211D1E"/>
        </w:rPr>
        <w:t xml:space="preserve">outinely assess material risks from cybersecurity threats, including </w:t>
      </w:r>
      <w:r>
        <w:rPr>
          <w:rFonts w:ascii="Times New Roman" w:cs="Times New Roman" w:eastAsia="Times New Roman" w:hAnsi="Times New Roman"/>
          <w:sz w:val="18"/>
          <w:szCs w:val="18"/>
          <w:color w:val="000000"/>
        </w:rPr>
        <w:t>any potential</w:t>
      </w:r>
      <w:r>
        <w:rPr>
          <w:rFonts w:ascii="Times New Roman" w:cs="Times New Roman" w:eastAsia="Times New Roman" w:hAnsi="Times New Roman"/>
          <w:sz w:val="18"/>
          <w:szCs w:val="18"/>
          <w:color w:val="211D1E"/>
        </w:rPr>
        <w:t xml:space="preserve"> </w:t>
      </w:r>
      <w:r>
        <w:rPr>
          <w:rFonts w:ascii="Times New Roman" w:cs="Times New Roman" w:eastAsia="Times New Roman" w:hAnsi="Times New Roman"/>
          <w:sz w:val="18"/>
          <w:szCs w:val="18"/>
          <w:color w:val="000000"/>
        </w:rPr>
        <w:t>unauthorized occurrence on or conducted through our information systems that may result in adverse effects on the confidentiality, integrity, or availability of our information systems or any information residing therein.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adhere to industry-leading frameworks to safeguard our systems and data. The primary framework we follow is the HITRUST CSF (Common Security Framework). The HITRUST CSF provides a comprehensive, scalable, and technology-neutral approach to regulatory compliance and risk management. It encompasses information security risk management controls, including risk assessment, mitigation, and evaluation. Our processes for assessing, identifying, and managing material cybersecurity risks align with the HITRUST CSF guidelines.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1D1E"/>
        </w:rPr>
        <w:t>We conduct monthly risk assessments to identify cybersecurity threats, as well as assessments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1D1E"/>
        </w:rPr>
        <w:t>Following these risk assessments, we evaluate whether and how to re-design, implement, and maintain reasonable safeguards to minimize identified risks; reasonably address any identified gaps in existing safeguards; and regularly monitor the effectiveness of our safeguards. We devote significant resources and designate high-level personnel, including our Chief Financial Officer, who reports to our Chief Executive Officer, to manage the risk assessment and mitigation process.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1D1E"/>
        </w:rPr>
        <w:t>As part of our overall risk management system, we monitor and test our safeguards and train our employees on these safeguards, in collaboration with our human resources and information technology departments. Personnel at all levels and departments are made aware of our cybersecurity policies through trainings.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1D1E"/>
        </w:rPr>
        <w:t>We engage assessors, consultants, and auditors in connection with our risk assessment processes. These service providers assist us in designing and implementing our cybersecurity policies and procedures, as well as to monitor and test our safeguards. We require each third-party service provider to certify that it has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1D1E"/>
        </w:rPr>
        <w:t xml:space="preserve">Although we have designed our cybersecurity program and governance procedures above to mitigate cybersecurity risks, we face unknown cybersecurity risks, threats and attacks. To date, these risks, threats or attacks have not had a material impact on our operations, business strategy or financial results, but we cannot provide assurance that they will not have a material impact in the future. See the section entitled "Risk Factors" included elsewhere in this Annual Report for further information. For further information, please refer to Item 1A, “Risk Factors,” in this Annual Report on Form 10-K, including the risk factors entitled “Risks Related to Employee Matters, Managing Our Growth and Other Risks Related to our Business: </w:t>
      </w:r>
      <w:r>
        <w:rPr>
          <w:rFonts w:ascii="Times New Roman" w:cs="Times New Roman" w:eastAsia="Times New Roman" w:hAnsi="Times New Roman"/>
          <w:sz w:val="18"/>
          <w:szCs w:val="18"/>
          <w:i w:val="1"/>
          <w:iCs w:val="1"/>
          <w:color w:val="211D1E"/>
        </w:rPr>
        <w:t>Our internal computer systems,</w:t>
      </w:r>
      <w:r>
        <w:rPr>
          <w:rFonts w:ascii="Times New Roman" w:cs="Times New Roman" w:eastAsia="Times New Roman" w:hAnsi="Times New Roman"/>
          <w:sz w:val="18"/>
          <w:szCs w:val="18"/>
          <w:color w:val="211D1E"/>
        </w:rPr>
        <w:t xml:space="preserve"> </w:t>
      </w:r>
      <w:r>
        <w:rPr>
          <w:rFonts w:ascii="Times New Roman" w:cs="Times New Roman" w:eastAsia="Times New Roman" w:hAnsi="Times New Roman"/>
          <w:sz w:val="18"/>
          <w:szCs w:val="18"/>
          <w:i w:val="1"/>
          <w:iCs w:val="1"/>
          <w:color w:val="211D1E"/>
        </w:rPr>
        <w:t>or those of any of our CROs, manufacturers, other contractors or consultants or potential future collaborators, may fail or suffer security or data privacy breaches or other unauthorized or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211D1E"/>
        </w:rPr>
        <w:t>improper access to, or use or other processing of, or destruction of our proprietary or confidential data, employee data, or personal data, which could result in additional costs, loss of revenue, significant liabilities, harm to our brand and material disruption of our operations.</w:t>
      </w:r>
      <w:r>
        <w:rPr>
          <w:rFonts w:ascii="Times New Roman" w:cs="Times New Roman" w:eastAsia="Times New Roman" w:hAnsi="Times New Roman"/>
          <w:sz w:val="18"/>
          <w:szCs w:val="18"/>
          <w:color w:val="211D1E"/>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including risks from cybersecurity threats. Our board of directors is responsible for monitoring and assessing strategic risk exposure, and our executive officers, including our Chief Financial Officer and General Counsel, are responsible for the day-to-day management of the material risks we face. Our board of directors administers its cybersecurity risk oversight function directly as a whole, as well as through its audit committee.</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Chief Financial Officer and Senior Director of Information Technology are primarily responsible for assessing and managing our material risks from cybersecurity threats with assistance from third-party service providers. Our Senior Director of Information Technology leads our internal team and has over 20 years of cybersecurity experience, including the last 10 years in leadership positions, enabling him to build and transform successful cybersecurity programs and initiatives across several enterprises. His active associations include Veteran Volunteer Instructor for US Cyber Army Command (ARCYBER), Information Systems Security Association (ISSA), and Forum of Incident Response and Security Teams (FIRST), and has held many technical certifications including Strategic Planning, Policy, and Leadership (GSTRT), Certified Information Systems Security Professional (CISSP) and Certified Cloud Security Professional (CCSP). Our third-party vendors include assessors, consultants, and auditors holding (but not limited to) the following relevant certifications: Certified Information Systems Security Architecture Professional (CISSP-ISSAP), Certified in the Governance of Enterprise IT (CGEIT), Certified Data Privacy Solutions Engineer (CDPSE), and Certified Ethical Hacker (C|EH).</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Chief Financial Officer and Senior Director, Information Technology </w:t>
      </w:r>
      <w:r>
        <w:rPr>
          <w:rFonts w:ascii="Times New Roman" w:cs="Times New Roman" w:eastAsia="Times New Roman" w:hAnsi="Times New Roman"/>
          <w:sz w:val="18"/>
          <w:szCs w:val="18"/>
          <w:color w:val="211D1E"/>
        </w:rPr>
        <w:t>oversee our cybersecurity policies and processes, including those described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D1E"/>
        </w:rPr>
        <w:t>“Risk Management and Strategy” above. The processes by which o</w:t>
      </w:r>
      <w:r>
        <w:rPr>
          <w:rFonts w:ascii="Times New Roman" w:cs="Times New Roman" w:eastAsia="Times New Roman" w:hAnsi="Times New Roman"/>
          <w:sz w:val="18"/>
          <w:szCs w:val="18"/>
          <w:color w:val="000000"/>
        </w:rPr>
        <w:t>ur Chief Financial Officer and Senior Director, Information Technology</w:t>
      </w:r>
      <w:r>
        <w:rPr>
          <w:rFonts w:ascii="Times New Roman" w:cs="Times New Roman" w:eastAsia="Times New Roman" w:hAnsi="Times New Roman"/>
          <w:sz w:val="18"/>
          <w:szCs w:val="18"/>
          <w:color w:val="211D1E"/>
        </w:rPr>
        <w:t xml:space="preserve"> are informed about and monitor the prevention, detection, mitigation, and remediation of cybersecurity incidents includes company incident management and data protection policies, and applicable cybersecurity incident response playbooks.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Chief Financial Officer and Senior Director, Information Technology </w:t>
      </w:r>
      <w:r>
        <w:rPr>
          <w:rFonts w:ascii="Times New Roman" w:cs="Times New Roman" w:eastAsia="Times New Roman" w:hAnsi="Times New Roman"/>
          <w:sz w:val="18"/>
          <w:szCs w:val="18"/>
          <w:color w:val="211D1E"/>
        </w:rPr>
        <w:t>provide periodic briefings to the audit committee regarding our cybersecurity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D1E"/>
        </w:rPr>
        <w:t>risks and activities, including any recent cybersecurity incidents and related responses, cybersecurity systems testing, activities of third parties, and the like. Our audit committee provides regular updates to the board of directors on such reports.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corporate headquarters consist of 2,760 square feet of leased office space in Pacific Palisades, California. Our Pacific Palisades lease expires on February 28, 2025. We also lease 10,615 square feet of office space in Morristown, New Jersey. The Morristown lease expires on May 19, 2028.</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our existing facilities are adequate to meet our current needs, and that suitable additional alternative spaces will be available in the future on commercially reasonable terms for our future growth.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discussion of legal proceedings, see Note 13 (Commitments and contingencies) to the consolidated financial statements in Part II, Item 8 of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Nasdaq Capital Market on August 27, 2021, under the symbol “AADI.”</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8, 2024, there were 84 stockholders of record of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nor paid any cash dividends to stockholders. We do not intend to pay cash dividends on our common stock for the foreseeable future, and currently intend to retain any future earnings to fund our operations and the development and growth of our business. The declaration of any future cash dividends, if any, would be at the discretion of our board of directors (subject to limitations imposed under applicable Delaware law) and would depend on our earnings, if any, our capital requirements and financial position, our general economic conditions and other pertinent conditions.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unregistered sales of securities other than previously disclosed by us on Form 10-Q or Form 8-K.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There were no repurchases of shares of common stock made during the year ended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of our financial condition and results of operations should be read in conjunction with the audited consolidated financial statements and the related notes to those statements thereto appearing elsewhere in this Annual Report on Form 10-K filed with the SEC for the year ending </w:t>
      </w:r>
      <w:r>
        <w:rPr>
          <w:rFonts w:ascii="Times New Roman" w:cs="Times New Roman" w:eastAsia="Times New Roman" w:hAnsi="Times New Roman"/>
          <w:sz w:val="18"/>
          <w:szCs w:val="18"/>
          <w:i w:val="1"/>
          <w:iCs w:val="1"/>
          <w:color w:val="231F20"/>
        </w:rPr>
        <w:t>December 31, 2023</w:t>
      </w:r>
      <w:r>
        <w:rPr>
          <w:rFonts w:ascii="Times New Roman" w:cs="Times New Roman" w:eastAsia="Times New Roman" w:hAnsi="Times New Roman"/>
          <w:sz w:val="18"/>
          <w:szCs w:val="18"/>
          <w:i w:val="1"/>
          <w:iCs w:val="1"/>
          <w:color w:val="auto"/>
        </w:rPr>
        <w:t>. Some of the information contained in this discussion and analysis, including information with respect to our plans and strategy for our business, includes forward-looking statements that involve risk, uncertainties and assumptions. Our actual results could differ materially from those discussed in our forward-looking statements for many reasons, including those risks. You should not place undue reliance on these forward-looking statements, which apply only as of the date of this Annual Report. You should read this Annual Report completely, including Part I, Item 1A (Risk Factors) of this Annual Report and the “Forward-Looking Statements” sections of this Annual Report for a discussion of important factors that could cause actual results to differ materially from the results described in or implied by our forward-looking statements contained in the following discussion and analysis.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References in the following discussion to “we,” “our,” “us,” or “Aadi” refer to Aadi Bioscience, Inc. and its subsidiaries.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Throughout this document we refer to FYARRO (nab-sirolimus, sirolimus protein-bound particles for injectable suspension (albumin-bound)) as FYARRO in the context of commercialization for the treatment of advanced malignant perivascular epithelioid cell tumor (PEComa), investigational use, our clinical trials, regulatory matters such as orphan drug designation, our license agreement with Bristol-Myers Squibb Company and collaboration agreement with Mirati Therapeutics, Inc., all further discussed throughout this document.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a biopharmaceutical company focused on developing and commercializing precision therapies for cancers with alterations in the mTOR pathway, a key regulator of cell growth and cancer progression. Our lead drug product, FYARRO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(sirolimus protein-bound particles for injectable suspension (albumin-bound); </w:t>
      </w:r>
      <w:r>
        <w:rPr>
          <w:rFonts w:ascii="Times New Roman" w:cs="Times New Roman" w:eastAsia="Times New Roman" w:hAnsi="Times New Roman"/>
          <w:sz w:val="18"/>
          <w:szCs w:val="18"/>
          <w:i w:val="1"/>
          <w:iCs w:val="1"/>
          <w:color w:val="auto"/>
        </w:rPr>
        <w:t>nab</w:t>
      </w:r>
      <w:r>
        <w:rPr>
          <w:rFonts w:ascii="Times New Roman" w:cs="Times New Roman" w:eastAsia="Times New Roman" w:hAnsi="Times New Roman"/>
          <w:sz w:val="18"/>
          <w:szCs w:val="18"/>
          <w:color w:val="auto"/>
        </w:rPr>
        <w:t>-sirolimus), combines two established technologies — nanoparticle albumin-bound (</w:t>
      </w:r>
      <w:r>
        <w:rPr>
          <w:rFonts w:ascii="Times New Roman" w:cs="Times New Roman" w:eastAsia="Times New Roman" w:hAnsi="Times New Roman"/>
          <w:sz w:val="18"/>
          <w:szCs w:val="18"/>
          <w:i w:val="1"/>
          <w:iCs w:val="1"/>
          <w:color w:val="auto"/>
        </w:rPr>
        <w:t>nab</w:t>
      </w:r>
      <w:r>
        <w:rPr>
          <w:rFonts w:ascii="Times New Roman" w:cs="Times New Roman" w:eastAsia="Times New Roman" w:hAnsi="Times New Roman"/>
          <w:sz w:val="18"/>
          <w:szCs w:val="18"/>
          <w:color w:val="auto"/>
        </w:rPr>
        <w:t xml:space="preserve">) technology and the anti-cancer agent, sirolimus. </w:t>
      </w:r>
      <w:r>
        <w:rPr>
          <w:rFonts w:ascii="Times New Roman" w:cs="Times New Roman" w:eastAsia="Times New Roman" w:hAnsi="Times New Roman"/>
          <w:sz w:val="18"/>
          <w:szCs w:val="18"/>
          <w:i w:val="1"/>
          <w:iCs w:val="1"/>
          <w:color w:val="auto"/>
        </w:rPr>
        <w:t>Nab</w:t>
      </w:r>
      <w:r>
        <w:rPr>
          <w:rFonts w:ascii="Times New Roman" w:cs="Times New Roman" w:eastAsia="Times New Roman" w:hAnsi="Times New Roman"/>
          <w:sz w:val="18"/>
          <w:szCs w:val="18"/>
          <w:color w:val="auto"/>
        </w:rPr>
        <w:t>-sirolimus is a potent inhibitor of the mTOR biological pathway with demonstrated anti-cancer activity in our lead indication, advanced unresectable or metastatic malignant perivascular epithelioid cell tumor (“PEComa”), a rare cancer. We believe our approach to utilizing this novel combination of technologies has the potential to produce transformational therapies for patients with cancers beyond PEComa that have known mTOR pathway activation and/or cancers in which other mTOR inhibitors have not been fully exploited due to problems of pharmacology, effective drug delivery, safety, or effective targeting to the disease site.</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2021, the U.S. Food and Drug Administration (the “FDA”) approved FYARRO sirolimus protein-bound particles for injectable suspension (albumin-bound) for the treatment of adult patients with locally advanced unresectable or metastatic malignant PEComa. On February 22, 2022, we launched FYARRO in the United States for treatment of advanced malignant PEComa. For the fiscal year ended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 we recorded net revenue from product sales of $24.4 million and net loss of $65.8 million compared to the fiscal year ended December 31, 2022, where we recorded net revenue from product sales of $15.2 million and net loss of $60.5 million. See “Results of Consolidated Operations” for further discussion of our results.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addition to advanced malignant PEComa, based on exploratory data from our completed Phase 2 registrational study, Advanced Malignant PEComa Trial (“AMPECT trial”) </w:t>
      </w:r>
      <w:r>
        <w:rPr>
          <w:rFonts w:ascii="Times New Roman" w:cs="Times New Roman" w:eastAsia="Times New Roman" w:hAnsi="Times New Roman"/>
          <w:sz w:val="18"/>
          <w:szCs w:val="18"/>
          <w:color w:val="231F20"/>
        </w:rPr>
        <w:t>and data for</w:t>
      </w:r>
      <w:r>
        <w:rPr>
          <w:rFonts w:ascii="Times New Roman" w:cs="Times New Roman" w:eastAsia="Times New Roman" w:hAnsi="Times New Roman"/>
          <w:sz w:val="18"/>
          <w:szCs w:val="18"/>
          <w:color w:val="auto"/>
        </w:rPr>
        <w:t xml:space="preserve"> FYARRO </w:t>
      </w:r>
      <w:r>
        <w:rPr>
          <w:rFonts w:ascii="Times New Roman" w:cs="Times New Roman" w:eastAsia="Times New Roman" w:hAnsi="Times New Roman"/>
          <w:sz w:val="18"/>
          <w:szCs w:val="18"/>
          <w:color w:val="231F20"/>
        </w:rPr>
        <w:t>in other solid tumors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31F20"/>
        </w:rPr>
        <w:t>TSC1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31F20"/>
        </w:rPr>
        <w:t>TSC2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inactivating alterations</w:t>
      </w:r>
      <w:r>
        <w:rPr>
          <w:rFonts w:ascii="Times New Roman" w:cs="Times New Roman" w:eastAsia="Times New Roman" w:hAnsi="Times New Roman"/>
          <w:sz w:val="18"/>
          <w:szCs w:val="18"/>
          <w:color w:val="auto"/>
        </w:rPr>
        <w:t>, we initiated a registration-directed tumor-agnostic Phase 2 study (“PRECISION1 trial”) of FYARRO in patients with malignant solid tumors with alterations of the Tuberous Sclerosis Complex 1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or Tuberous Sclerosis Complex 2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genes. The PRECISION1 trial was opened for enrollment in the United States during the first quarter of 2022, with dosing of our first patient in March 2022. On December 14, 2023, we announced results from an interim analysis on the first third of participants in the PRECISION1 trial. As of December 2023, 80 patients were enrolled in the PRECISION1 trial, supporting our expected two-thirds interim analysis in the third quarter of 2024. The Overall Response Rate ("ORR") analysis in the two-thirds interim analysis cohort will be based on independent radiological review with a minimum of six months of follow-up for all patients. The trial is expected to be fully enrolled by May 2024 and completed by the end of 2024, with results anticipated in early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regarding our business, including FYARRO, the AMPECT trial and the PRECISION1 trial, see Part I, Item 1 (Business).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19" w:lineRule="exact"/>
        <w:rPr>
          <w:sz w:val="20"/>
          <w:szCs w:val="20"/>
          <w:color w:val="auto"/>
        </w:rPr>
      </w:pPr>
    </w:p>
    <w:p>
      <w:pPr>
        <w:jc w:val="both"/>
        <w:ind w:left="980" w:hanging="486"/>
        <w:spacing w:after="0" w:line="258" w:lineRule="auto"/>
        <w:tabs>
          <w:tab w:leader="none" w:pos="975"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PRECISION1 Interim Analysis</w:t>
      </w:r>
      <w:r>
        <w:rPr>
          <w:rFonts w:ascii="Times New Roman" w:cs="Times New Roman" w:eastAsia="Times New Roman" w:hAnsi="Times New Roman"/>
          <w:sz w:val="18"/>
          <w:szCs w:val="18"/>
          <w:color w:val="auto"/>
        </w:rPr>
        <w:t>. On December 14, 2023, we reported results from a planned interim analysis on the first third of participants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PRECISION1 trial. The interim analysis included data from the first third of trial participants (n=40) with a minimum of 4.5 months of follow-up, including investigator-assessed response and safety analyzed separately in each of the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xml:space="preserve"> arms. Nine different tumor types were enrolled in the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xml:space="preserve"> arm and 13 tumor types were enrolled in the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xml:space="preserve"> arm. For more information regarding the PRECISION1 interim analysis, see Part I, Item 1 (Business - Our Product, </w:t>
      </w:r>
      <w:r>
        <w:rPr>
          <w:rFonts w:ascii="Times New Roman" w:cs="Times New Roman" w:eastAsia="Times New Roman" w:hAnsi="Times New Roman"/>
          <w:sz w:val="18"/>
          <w:szCs w:val="18"/>
          <w:i w:val="1"/>
          <w:iCs w:val="1"/>
          <w:color w:val="auto"/>
        </w:rPr>
        <w:t>FYARRO - Ongoing Clinical Development</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b w:val="1"/>
          <w:bCs w:val="1"/>
          <w:i w:val="1"/>
          <w:iCs w:val="1"/>
          <w:color w:val="auto"/>
        </w:rPr>
      </w:pPr>
    </w:p>
    <w:p>
      <w:pPr>
        <w:jc w:val="both"/>
        <w:ind w:left="980" w:hanging="486"/>
        <w:spacing w:after="0" w:line="257" w:lineRule="auto"/>
        <w:tabs>
          <w:tab w:leader="none" w:pos="975"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Leadership Transition and Board Appointment</w:t>
      </w:r>
      <w:r>
        <w:rPr>
          <w:rFonts w:ascii="Times New Roman" w:cs="Times New Roman" w:eastAsia="Times New Roman" w:hAnsi="Times New Roman"/>
          <w:sz w:val="18"/>
          <w:szCs w:val="18"/>
          <w:color w:val="auto"/>
        </w:rPr>
        <w:t>. On September 27, 2023, our board of directors (the "Board") appointed David J. Lennon,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Ph.D., to serve as our President and Chief Executive Officer, effective as of October 2, 2023, replacing Scott Giacobello in such roles. Mr. Giacobello had served as our Interim CEO and President since March 15, 2023, and continues to serve as the Company’s Chief Financial Officer, a position he has held since November 2021, following Dr. Lennon’s appointment. In addition, effective October 2, 2023, Dr. Lennon was appointed to the Board as a Class II director and his term of office will expire at our 2025 annual meeting of stockholders or until his successor is duly elected and qualified.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BMS License Agreement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exclusive rights for certain patents and a non-exclusive license for certain technology and know-how pertaining to ABI-009 (which we refer to as FYARRO) pursuant to an amended and restated license agreement, dated November 15, 2019, as amended August 31, 2021 (the “BMS License Agreement”) with Abraxis BioScience, LLC, a wholly owned subsidiary of Celgene Corporation, which is a wholly owned subsidiary of Bristol-Myers Squibb Company (“BMS”). Under the BMS License Agreement, BMS is entitled to receive certain development milestone payments, royalties on net sales from licensed products under the agreement and any sublicense fees. Under the terms of this agreement</w:t>
      </w:r>
      <w:r>
        <w:rPr>
          <w:rFonts w:ascii="Times New Roman" w:cs="Times New Roman" w:eastAsia="Times New Roman" w:hAnsi="Times New Roman"/>
          <w:sz w:val="18"/>
          <w:szCs w:val="18"/>
          <w:color w:val="231F20"/>
        </w:rPr>
        <w:t>, we recorded royalties on net product sales of</w:t>
      </w:r>
      <w:r>
        <w:rPr>
          <w:rFonts w:ascii="Times New Roman" w:cs="Times New Roman" w:eastAsia="Times New Roman" w:hAnsi="Times New Roman"/>
          <w:sz w:val="18"/>
          <w:szCs w:val="18"/>
          <w:color w:val="auto"/>
        </w:rPr>
        <w:t xml:space="preserve"> $1.8 million </w:t>
      </w:r>
      <w:r>
        <w:rPr>
          <w:rFonts w:ascii="Times New Roman" w:cs="Times New Roman" w:eastAsia="Times New Roman" w:hAnsi="Times New Roman"/>
          <w:sz w:val="18"/>
          <w:szCs w:val="18"/>
          <w:color w:val="231F20"/>
        </w:rPr>
        <w:t>and $1.1 million for the years ended December 31, 2023 and 2022, respectively.</w:t>
      </w:r>
      <w:r>
        <w:rPr>
          <w:rFonts w:ascii="Times New Roman" w:cs="Times New Roman" w:eastAsia="Times New Roman" w:hAnsi="Times New Roman"/>
          <w:sz w:val="18"/>
          <w:szCs w:val="18"/>
          <w:color w:val="auto"/>
        </w:rPr>
        <w:t xml:space="preserve"> No payments related to milestones under this agreement were paid during the years ended December 31, 2023 or 2022. See Note 8 to the consolidated financial statements for more information about the BMS License Agreement.</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30, 2021, the Company and BMS entered into Amendment No. 1 (the "Amendment") to the BMS License Agreement. Under the terms of the Amendment, we paid BMS $5.8 million, representing 50% of the previously outstanding payment obligation under the agreement, following the effective time of our 2021 private investment in public equity (PIPE) financing ("2021 PIPE Financing") that occurred in connection with the closing of the reverse merger of Aerpio Pharmaceuticals, Inc. whereby Aspen Merger Subsidiary, Inc., our wholly-owned subsidiary (“Merger Sub”), merged with and into Aadi Subsidiary, Inc. (formerly known as Aadi Bioscience, Inc. (“Private Aadi”)), with Private Aadi surviving as our wholly-owned subsidiary (the “Merger”). Pursuant to the terms of the amendment, the remaining portion of the previously outstanding payment obligation ($5.8 million), which is recorded on our consolidated balance sheets as due to licensor, is due on the third anniversary of the effective time of the 2021 PIPE Financing (i.e., August 26, 2024), plus any accrued and unpaid interest due thereon.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EOC License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2020, we entered into the license agreement ("EOC License Agreement") with EOC Pharma (Hong Kong) Limited ("EOC") under which we received $14.0 million in January 2021 in non-refundable upfront consideration as partial payment for the rights and licenses granted to EOC by us for the further development and commercialization of FYARRO in the People’s Republic of China, Hong Kong Special Administration Region, Macao Special Administrative Region and Taiwan (the “Licensed Territory”).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BMS License Agreement, we are required to pay 20% of all sublicense fees to BMS. As such, we recognized $2.8 million of license expense in the fourth quarter of 2020 and had a corresponding $2.8 million sublicense payable to BMS as of December 31, 2020, which was paid in 2021.</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2021, we recognized license revenue and received $1.0 million from EOC for achieving the FDA approval milestone in November 2021. In accordance with the BMS License Agreement, we recognized $0.2 million of license expense in the fourth quarter of 2021 and had a corresponding $0.2 million sublicense payable to BMS as of December 31, 2021, which was paid in 2022.</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27, 2022, we received written notice from EOC that EOC has elected to terminate the EOC License Agreement, effective immediately. On June 27, 2022, EOC filed a Request for Arbitration with the International Chamber of Commerce’s International Court of Arbitration against us. The arbitration process is ongoing. We intend to defend ourselves vigorously in this matter and pursue all relief to which we are entitled. We are unable to estimate the possible loss or range of loss, therefore no amounts have been accrued as of December 31, 2023. See Notes 8 and 13 to the audited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20"/>
        <w:spacing w:after="0" w:line="375" w:lineRule="auto"/>
        <w:rPr>
          <w:sz w:val="20"/>
          <w:szCs w:val="20"/>
          <w:color w:val="auto"/>
        </w:rPr>
      </w:pPr>
      <w:r>
        <w:rPr>
          <w:rFonts w:ascii="Times New Roman" w:cs="Times New Roman" w:eastAsia="Times New Roman" w:hAnsi="Times New Roman"/>
          <w:sz w:val="18"/>
          <w:szCs w:val="18"/>
          <w:color w:val="auto"/>
        </w:rPr>
        <w:t xml:space="preserve">consolidated financial statements for more information about the EOC License Agreement, its termination and pending arbitration. </w:t>
      </w:r>
      <w:r>
        <w:rPr>
          <w:rFonts w:ascii="Times New Roman" w:cs="Times New Roman" w:eastAsia="Times New Roman" w:hAnsi="Times New Roman"/>
          <w:sz w:val="18"/>
          <w:szCs w:val="18"/>
          <w:b w:val="1"/>
          <w:bCs w:val="1"/>
          <w:i w:val="1"/>
          <w:iCs w:val="1"/>
          <w:color w:val="auto"/>
        </w:rPr>
        <w:t>Mirati Collaboration</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October 2022, we entered into a collaboration and supply agreement with Mirati Therapeutics, Inc. (“Mirati”) to evaluate the combination of Mirati’s adagrasib, a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selective inhibitor, and FYARRO in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mutant non-small cell lung cancer (NSCLC) and other solid tumors. Under the terms of the agreement, Mirati will be responsible for sponsoring and operating the Phase 1/2 study and we will supply study drug and jointly share the cost of the study.</w:t>
      </w:r>
    </w:p>
    <w:p>
      <w:pPr>
        <w:spacing w:after="0" w:line="22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primary objective of this multi-center, single-arm, open-label Phase 1/2 trial is to determine the optimal dose and recommended Phase 2 dose for the combination of adagrasib and FYARRO in patients with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mutant solid tumors. In addition, the study will investigate the safety, tolerability and efficacy of adagrasib and FYARRO in combination in patients both with and without prior exposure to a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inhibitor. The trial will build on preclinical data showing enhanced anti-tumor efficacy with the combination of adagrasib and FYARRO relative to either agent alone. In August 2023, we announced that the first patient dosing occurred in the Phase 1/2 trial.</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Negative Global or National Events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Businesses have been and will continue to be impacted by a number of challenging global and national events and circumstances that continue to evolve, including the recent turmoil in the global banking system, public health epidemics, such as the COVID-19 pandemic, extreme weather conditions, increased economic uncertainty, inflation, rising interest rates, and geopolitical instability, including the conflicts in Ukraine, the Middle East and in other countries.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 For example, as the COVID-19 pandemic developed, we took numerous steps to help ensure the health and safety of our employees. While we have resumed normal operations, any resurgence of the COVID-19 pandemic may cause us to reinstitute certain measures to protect employee safety, including staggered work hours or reduced in-person staffing, that could result in additional disruption and/or delays in our ability to conduct development activities.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been and continue to actively monitor our supply chain in light of these challenging global and national events and circumstances, including our third-party materials suppliers. We experienced some supply disruptions due to the COVID-19 pandemic, including closures at certain chip manufacturers, which led to extended lead times for FYARRO and diversion of certain lab materials needed to support COVID-19 relief efforts. While these disruptions have been resolved, we are continuing to monitor our supply chain and contingency planning is ongoing with our partners to reduce the possibility of an interruption to our development activities or the availability of necessary materials.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ultimate impact of these global and national events and circumstances, either individually or in aggregate, is highly uncertain and subject to change. To the extent possible, we are conducting business as usual, with necessary or advisable modifications to mitigate potentially negative impacts to our business. For example, during the COVID-19 pandemic, our clinical trials were affected by the closure of offices, lack of resources and closure of borders, among other measures being put in place around the world and we made certain modifications to employee travel, with masking and vaccination requirements in our offices, and with our employees working remotely fully or intermittently. Any inability to travel and conduct face-to-face meetings, as well as constraints surrounding hospital infrastructure and staff, can also make it more difficult to enroll and maintain patients in ongoing or planned clinical trials. We will continue to actively monitor the rapidly evolving situation related to these global and national events, and may take further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 circumstances may affect our future business, operations and development timelines and plans, including the resulting impact on our expenditures and capital needs, remains uncertain. We will continue to evaluate the impact that these events could have on our operations, financial position, results of operations and cash flows in fiscal year 2024.</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Trends and Factors Affecting Comparability Between Periods</w:t>
      </w:r>
    </w:p>
    <w:p>
      <w:pPr>
        <w:spacing w:after="0" w:line="121" w:lineRule="exact"/>
        <w:rPr>
          <w:sz w:val="20"/>
          <w:szCs w:val="20"/>
          <w:color w:val="auto"/>
        </w:rPr>
      </w:pPr>
    </w:p>
    <w:p>
      <w:pPr>
        <w:ind w:left="980" w:hanging="486"/>
        <w:spacing w:after="0" w:line="282" w:lineRule="auto"/>
        <w:tabs>
          <w:tab w:leader="none" w:pos="9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sale of FYARRO was launched on February 22, 2022, for the treatment of patients with advanced malignant PEComa. We recorded net product sales of $24.4 million and $15.2 million during the years ended December 31, 2023 and 2022, respectively.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980" w:hanging="486"/>
        <w:spacing w:after="0" w:line="258" w:lineRule="auto"/>
        <w:tabs>
          <w:tab w:leader="none" w:pos="9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built a cross-functional commercial team consisting of marketing, market access and commercial operations and will continue to strategically build our sales and our commercial infrastructure with capabilities designed to scale when necessary to support future commercial launches. Expenses related to our commercialization of FYARRO, including personnel expenses, sales support, and marketing are included in selling, general and administrative expenses for the years ended December 31, 2023 and 2022. We expect these expenses to decrease, as compared to prior periods.</w:t>
      </w:r>
    </w:p>
    <w:p>
      <w:pPr>
        <w:spacing w:after="0" w:line="75"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build out our research and development team and we expect our research and development costs will increase in 2024, relative to prior periods, as a result of significant expenses related to the PRECISION1 trial which was open to enrollment during the years ended December 31, 2023 and 2022, with the first patient dosed in March 2022. We also expect our research and development costs to increase in 2024 and in future periods, as compared to 2023, based on anticipated expenses related to the two new clinical programs for FYARRO described under "Recent Developments - New Clinical Indications" above.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31F20"/>
        </w:rPr>
        <w:t>December 31, 2023, we had $108.8 million of cash, cash equivalents and short-term investments. Based on our current plans, we believe our 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cash, cash equivalents and short-term investments will enable us to conduct our planned operations into the fourth quarter of 2025. </w:t>
      </w:r>
      <w:r>
        <w:rPr>
          <w:rFonts w:ascii="Times New Roman" w:cs="Times New Roman" w:eastAsia="Times New Roman" w:hAnsi="Times New Roman"/>
          <w:sz w:val="18"/>
          <w:szCs w:val="18"/>
          <w:color w:val="000000"/>
        </w:rPr>
        <w:t>We have incurred net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losses in each year since inception and as of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000000"/>
        </w:rPr>
        <w:t xml:space="preserve"> we had an accumulated deficit of $269.0 million. These losses have resulted principally from costs incurred in connection with research and development activities, selling, general and administrative costs associated with our operations, and costs associated with the Merger. We expect to continue to incur significant expenses and operating losses for the foreseeable future due to the cost of research and development, including conducting preclinical and clinical trials and identifying and designing product candidates, the regulatory approval process for FYARRO outside the United States and in additional indications and any other product candidates we may develop in the future and the commercial launch of FYARRO.</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highlights our results of operations and the principal factors that have affected our financial condition as well as our liquidity and capital resources for the periods described and provides information that management believes is relevant for an assessment and understanding of the consolidated balance sheets and statements of operations and comprehensive loss presented herein. The following discussion and analysis are based on our consolidated financial statements contained in this Annual Report, which we have prepared in accordance with U.S. generally accepted accounting principles (“GAAP”). You should read the discussion and analysis together with such consolidated financial statements and the related notes thereto.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Statements of Operations and Comprehensive Loss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FYARRO was approved by the FDA in November 2021 for treating adult patients with locally advanced unresectable or metastatic malignant PEComa. On February 22, 2022, we launched sales of FYARRO to specialty distributors (“SDs”) and a specialty pharmacy (“SP”). We recognize product sales when the SDs and SP obtain control of the product, which occurs upon delivery. Product sales are recorded at the net sales price, which includes provisions for the following allowances which are reflected either as a reduction to the related account receivable or as an accrued liability, depending on how the allowance is settled:</w:t>
      </w:r>
    </w:p>
    <w:p>
      <w:pPr>
        <w:spacing w:after="0" w:line="73" w:lineRule="exact"/>
        <w:rPr>
          <w:sz w:val="20"/>
          <w:szCs w:val="20"/>
          <w:color w:val="auto"/>
        </w:rPr>
      </w:pPr>
    </w:p>
    <w:p>
      <w:pPr>
        <w:ind w:left="980" w:hanging="486"/>
        <w:spacing w:after="0" w:line="267" w:lineRule="auto"/>
        <w:tabs>
          <w:tab w:leader="none" w:pos="84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 Fees</w:t>
      </w:r>
      <w:r>
        <w:rPr>
          <w:rFonts w:ascii="Times New Roman" w:cs="Times New Roman" w:eastAsia="Times New Roman" w:hAnsi="Times New Roman"/>
          <w:sz w:val="18"/>
          <w:szCs w:val="18"/>
          <w:color w:val="auto"/>
        </w:rPr>
        <w:t>: Distribution fees include distribution service fees paid to the SDs and SP based on a contractually fixed percentage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wholesale acquisition cost (“WAC”). Distribution fees are recorded as an offset to product sales based on contractual terms at the time the sale is recognized.</w:t>
      </w:r>
    </w:p>
    <w:p>
      <w:pPr>
        <w:spacing w:after="0" w:line="65" w:lineRule="exact"/>
        <w:rPr>
          <w:rFonts w:ascii="Times New Roman" w:cs="Times New Roman" w:eastAsia="Times New Roman" w:hAnsi="Times New Roman"/>
          <w:sz w:val="18"/>
          <w:szCs w:val="18"/>
          <w:color w:val="auto"/>
        </w:rPr>
      </w:pPr>
    </w:p>
    <w:p>
      <w:pPr>
        <w:ind w:left="980" w:hanging="486"/>
        <w:spacing w:after="0" w:line="257" w:lineRule="auto"/>
        <w:tabs>
          <w:tab w:leader="none" w:pos="8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Rebates</w:t>
      </w:r>
      <w:r>
        <w:rPr>
          <w:rFonts w:ascii="Times New Roman" w:cs="Times New Roman" w:eastAsia="Times New Roman" w:hAnsi="Times New Roman"/>
          <w:sz w:val="18"/>
          <w:szCs w:val="18"/>
          <w:color w:val="auto"/>
        </w:rPr>
        <w:t>: Allowance for rebates include mandated discounts under the Medicaid Drug Rebate Program and TRICARE program. Rebates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owed after the final dispensing of the product to a benefit plan participant and are based upon contractual agreements or statutory requirements. The allowance for rebates is based on contracted or statutory discount rates and expected utilization by benefit plan participants. Our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from estimates, we may need to adjust prior period accruals, which would affect product sales in the period of adjustment.</w:t>
      </w:r>
    </w:p>
    <w:p>
      <w:pPr>
        <w:spacing w:after="0" w:line="115" w:lineRule="exact"/>
        <w:rPr>
          <w:sz w:val="20"/>
          <w:szCs w:val="20"/>
          <w:color w:val="auto"/>
        </w:rPr>
      </w:pPr>
    </w:p>
    <w:p>
      <w:pPr>
        <w:ind w:left="980" w:hanging="486"/>
        <w:spacing w:after="0" w:line="261" w:lineRule="auto"/>
        <w:tabs>
          <w:tab w:leader="none" w:pos="7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 Chargebacks are discounts and fees that relate to contracts with government and other entities purchasing from the SDs and SP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discounted price. The SDs and SP charge back to us the difference between the price initially paid by the SDs and SP and the discounted price paid to the SDs and SP by these entities. If actual future chargebacks vary from these estimates, we may need to adjust prior period accruals, which would affect product sales in the period of adjustment.</w:t>
      </w:r>
    </w:p>
    <w:p>
      <w:pPr>
        <w:spacing w:after="0" w:line="71" w:lineRule="exact"/>
        <w:rPr>
          <w:rFonts w:ascii="Times New Roman" w:cs="Times New Roman" w:eastAsia="Times New Roman" w:hAnsi="Times New Roman"/>
          <w:sz w:val="18"/>
          <w:szCs w:val="18"/>
          <w:color w:val="auto"/>
        </w:rPr>
      </w:pPr>
    </w:p>
    <w:p>
      <w:pPr>
        <w:ind w:left="980" w:hanging="486"/>
        <w:spacing w:after="0" w:line="258" w:lineRule="auto"/>
        <w:tabs>
          <w:tab w:leader="none" w:pos="80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Co-Payment Assistance</w:t>
      </w:r>
      <w:r>
        <w:rPr>
          <w:rFonts w:ascii="Times New Roman" w:cs="Times New Roman" w:eastAsia="Times New Roman" w:hAnsi="Times New Roman"/>
          <w:sz w:val="18"/>
          <w:szCs w:val="18"/>
          <w:color w:val="auto"/>
        </w:rPr>
        <w:t>: We offer co-payment assistance to commercially insured patients meeting certain eligibility requirements. Co-payment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is accrued at the time of product sale to the SDs and SP based on estimated patient participation and average co-pay benefit to be paid per claim. Our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spacing w:after="0" w:line="75" w:lineRule="exact"/>
        <w:rPr>
          <w:rFonts w:ascii="Times New Roman" w:cs="Times New Roman" w:eastAsia="Times New Roman" w:hAnsi="Times New Roman"/>
          <w:sz w:val="18"/>
          <w:szCs w:val="18"/>
          <w:color w:val="auto"/>
        </w:rPr>
      </w:pPr>
    </w:p>
    <w:p>
      <w:pPr>
        <w:ind w:left="980" w:hanging="486"/>
        <w:spacing w:after="0" w:line="256" w:lineRule="auto"/>
        <w:tabs>
          <w:tab w:leader="none" w:pos="84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Returns</w:t>
      </w:r>
      <w:r>
        <w:rPr>
          <w:rFonts w:ascii="Times New Roman" w:cs="Times New Roman" w:eastAsia="Times New Roman" w:hAnsi="Times New Roman"/>
          <w:sz w:val="18"/>
          <w:szCs w:val="18"/>
          <w:color w:val="auto"/>
        </w:rPr>
        <w:t>: Consistent with industry practice, we offer the SDs and SP limited product return rights for damages, shipment errors,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expiring product, provided that the return is within a specified period around the product expiration date as set forth in the applicable individual distribution agreement. We do not allow product returns for product that has been dispensed to a patient. As we receive inventory reports from the SDs and SP and have the ability to control the amount of product that is sold to the SDs and SP, we estimate future potential product returns based on the on-hand channel inventory data and sell-through data obtained from the SDs and SP. In arriving at our estimate, we also consider historical product returns, the underlying product demand, and industry data specific to the specialty pharmaceutical distribution industry.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related benefits, including share-based compensation, related to our executive, finance, business development, sales and marketing, and other corporate functions. Other general and administrative expenses include professional fees for legal, auditing, tax and business consulting services, insurance costs, intellectual property and patent costs, facility costs and travel costs.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which consist primarily of costs associated with our product research and development efforts, are expensed as incurred. Research and development expenses consist primarily of: (i) employee related costs, including salaries, benefits and share-based compensation expense for employees engaged in scientific research and development functions; (ii) third-party contract costs relating to research, formulation, manufacturing, nonclinical studies and clinical trial activities; (iii) external costs of outside consultants who assist with technology development, regulatory affairs, clinical development and quality assurance; (iv) payments made under our third-party licensing agreements; and (v) allocated facility-related costs.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 We expect to increase our investment in research and development in order to advance FYARRO in additional indications through clinical trials. As a result, we expect that our research and development expenses will increase in the foreseeable future as we continue to invest in research and development activities, pursue clinical development of FYARRO in additional indications and any other product candidates we may develop in the future and expand our product candidate pipeline.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process of commercialization and conducting the necessary preclinical and clinical research to obtain regulatory approval is costly and time-consuming.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goods sold consist primarily of royalties paid to BMS, costs incurred on sales of FYARRO and costs to manufacture and prepare the product for sales subsequent to the FDA approval in November 2021. Costs incurred prior to the FDA approval were expensed when incurred</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Acquired Contract Intangible Asset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Impairment of acquired contract intangible asset relates to a write down of the acquired contract intangible asset to fair value. During the year ended December 31, 2022, we recognized an impairment of $3.7 million to fully impair the contract intangible asset based on Gossamer's termination of the license agreement, dated June 24, 2018, with Gossamer Bio, Inc. ("Gossamer"), as amended (the "Gossamer License Agreement"), as a result of Gossamer not meeting its primary or secondary endpoint in the UC-SHIFT clinical trial.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net consists of interest income earned on cash, cash equivalents and short-term investments, partially offset by interest expense related to the convertible promissory notes.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years ended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 xml:space="preserve"> and 2022, we recognized no income tax expense on the statements of operations and comprehensive loss. Since our formation in 2011, we have not recorded any U.S. federal or state income tax benefits for the net losses we have incurred in each year or our earned tax credits, due to our uncertainty of realizing a benefit from those items.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for the periods indicated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68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Pr>
          <w:p>
            <w:pPr>
              <w:spacing w:after="0"/>
              <w:rPr>
                <w:sz w:val="16"/>
                <w:szCs w:val="16"/>
                <w:color w:val="auto"/>
              </w:rPr>
            </w:pPr>
          </w:p>
        </w:tc>
      </w:tr>
      <w:tr>
        <w:trPr>
          <w:trHeight w:val="203"/>
        </w:trPr>
        <w:tc>
          <w:tcPr>
            <w:tcW w:w="79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7"/>
                <w:szCs w:val="17"/>
                <w:color w:val="auto"/>
              </w:rPr>
            </w:pPr>
          </w:p>
        </w:tc>
      </w:tr>
      <w:tr>
        <w:trPr>
          <w:trHeight w:val="23"/>
        </w:trPr>
        <w:tc>
          <w:tcPr>
            <w:tcW w:w="7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9"/>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9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24,354</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15,216</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24,354</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15,216</w:t>
            </w:r>
          </w:p>
        </w:tc>
      </w:tr>
      <w:tr>
        <w:trPr>
          <w:trHeight w:val="20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40,176</w:t>
            </w:r>
          </w:p>
        </w:tc>
      </w:tr>
      <w:tr>
        <w:trPr>
          <w:trHeight w:val="229"/>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32,662</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of acquired contract intangible asset</w:t>
            </w:r>
          </w:p>
        </w:tc>
        <w:tc>
          <w:tcPr>
            <w:tcW w:w="9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w:t>
            </w: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96,287</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77,897</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(71,933)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(62,681)</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(65,765)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(60,513)</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(65,765)</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(60,513)</w:t>
            </w:r>
          </w:p>
        </w:tc>
      </w:tr>
      <w:tr>
        <w:trPr>
          <w:trHeight w:val="20"/>
        </w:trPr>
        <w:tc>
          <w:tcPr>
            <w:tcW w:w="7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Comparison of Years Ended </w:t>
      </w:r>
      <w:r>
        <w:rPr>
          <w:rFonts w:ascii="Times New Roman" w:cs="Times New Roman" w:eastAsia="Times New Roman" w:hAnsi="Times New Roman"/>
          <w:sz w:val="18"/>
          <w:szCs w:val="18"/>
          <w:b w:val="1"/>
          <w:bCs w:val="1"/>
          <w:color w:val="231F20"/>
        </w:rPr>
        <w:t>December 31, 2023 and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product sales, net consist of sales of FYARRO since its launch in the United States on February 22, 2022. Product sales, net for the years ended </w:t>
      </w:r>
      <w:r>
        <w:rPr>
          <w:rFonts w:ascii="Times New Roman" w:cs="Times New Roman" w:eastAsia="Times New Roman" w:hAnsi="Times New Roman"/>
          <w:sz w:val="18"/>
          <w:szCs w:val="18"/>
          <w:color w:val="231F20"/>
        </w:rPr>
        <w:t xml:space="preserve">December 31, 2023 and 2022 </w:t>
      </w:r>
      <w:r>
        <w:rPr>
          <w:rFonts w:ascii="Times New Roman" w:cs="Times New Roman" w:eastAsia="Times New Roman" w:hAnsi="Times New Roman"/>
          <w:sz w:val="18"/>
          <w:szCs w:val="18"/>
          <w:color w:val="000000"/>
        </w:rPr>
        <w:t>were $24.4 million and $15.2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Selling, general and administrative expenses for the year ended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 were $44.5 million, compared to $40.2 million for the year ended December 31, 2022. The $4.3 million increase was primarily driven by $4.1 million of legal costs predominantly related to the EOC arbitration and other related expenses, $0.7 million of personnel expenses related to increased headcount, incentive bonuses and share-based compensation, and $1.3 million of commercial and marketing expense, offset by a decrease of $1.8 million of consulting expenses and insurance.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research and development expenses for the periods indicated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72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Pr>
          <w:p>
            <w:pPr>
              <w:spacing w:after="0"/>
              <w:rPr>
                <w:sz w:val="16"/>
                <w:szCs w:val="16"/>
                <w:color w:val="auto"/>
              </w:rPr>
            </w:pPr>
          </w:p>
        </w:tc>
      </w:tr>
      <w:tr>
        <w:trPr>
          <w:trHeight w:val="203"/>
        </w:trPr>
        <w:tc>
          <w:tcPr>
            <w:tcW w:w="79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7"/>
                <w:szCs w:val="17"/>
                <w:color w:val="auto"/>
              </w:rPr>
            </w:pPr>
          </w:p>
        </w:tc>
      </w:tr>
      <w:tr>
        <w:trPr>
          <w:trHeight w:val="23"/>
        </w:trPr>
        <w:tc>
          <w:tcPr>
            <w:tcW w:w="7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expense</w:t>
            </w: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Consultants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clinical development</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drug product manufacturing</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00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48,929</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32,662</w:t>
            </w:r>
          </w:p>
        </w:tc>
      </w:tr>
      <w:tr>
        <w:trPr>
          <w:trHeight w:val="20"/>
        </w:trPr>
        <w:tc>
          <w:tcPr>
            <w:tcW w:w="7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Research and development expenses for the year ended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 were $48.9 million, compared to $32.7 million for the year ended December 31, 2022. The $16.2 million increase was primarily driven by a $7.0 million increase in clinical development expenses with $5.5 million of the $7.0 million increase related to the PRECISION1 trial, $4.5 million in expenses related to headcount, consultants, and other expenses, and $4.7 million related to clinical drug product manufacturing.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goods sold for the year ended December 31, 2023 and 2022 was $2.8 million and $1.3 million, respectively. This increase is primarily driven by royalties incurred on product sold.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Acquired Contract Intangible Asset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year ended </w:t>
      </w:r>
      <w:r>
        <w:rPr>
          <w:rFonts w:ascii="Times New Roman" w:cs="Times New Roman" w:eastAsia="Times New Roman" w:hAnsi="Times New Roman"/>
          <w:sz w:val="18"/>
          <w:szCs w:val="18"/>
          <w:color w:val="231F20"/>
        </w:rPr>
        <w:t>December 31, 2022</w:t>
      </w:r>
      <w:r>
        <w:rPr>
          <w:rFonts w:ascii="Times New Roman" w:cs="Times New Roman" w:eastAsia="Times New Roman" w:hAnsi="Times New Roman"/>
          <w:sz w:val="18"/>
          <w:szCs w:val="18"/>
          <w:color w:val="auto"/>
        </w:rPr>
        <w:t>, we recorded a $3.7 million impairment charge to reduce the carrying value of the intangible asset to its fair value of zero, based on a formal notice of termination we received on April 25, 2022 from Gossamer for the Gossamer License Agreement. The Gossamer License Agreement terminated effective July 24, 2022.</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Notice of Termination, we fully impaired the intangible asset during the nine months ended September 30, 2022, as the Gossamer License Agreement is the sole underlying asset. In connection with the termination of the Gossamer License Agreement, the CVR Agreement (as defined in Note 5 to the consolidated financial statements), pursuant to which the contingent value rights (“CVRs”) were issued to legacy holders of common stock of Aerpio immediately prior to the Merger, automatically terminated in accordance with its terms and the CVRs were automatically cancelled and forfeited without any consideration or payment, in each case effective July 24, 2022.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other income, net: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760" w:type="dxa"/>
            <w:vAlign w:val="bottom"/>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r>
      <w:tr>
        <w:trPr>
          <w:trHeight w:val="203"/>
        </w:trPr>
        <w:tc>
          <w:tcPr>
            <w:tcW w:w="790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7"/>
                <w:szCs w:val="17"/>
                <w:color w:val="auto"/>
              </w:rPr>
            </w:pPr>
          </w:p>
        </w:tc>
      </w:tr>
      <w:tr>
        <w:trPr>
          <w:trHeight w:val="2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106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w:t>
            </w:r>
          </w:p>
        </w:tc>
      </w:tr>
      <w:tr>
        <w:trPr>
          <w:trHeight w:val="21"/>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Other income, net for the year ended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 was $6.2 million of income, compared to $2.2 million of income for the year ended December 31, 2022. The change was primarily driven by higher interest rates on short-term investments held during the year ended December 31, 2023 compared to the year ended December 31,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we had $108.8 million of cash, cash equivalents and short-term investments. Based on our current plans, we believe our existing cash, cash equivalents and short-term investments will enable us to conduct our planned operations into the fourth quarter of 2025.</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incurred net losses in each year since inception and as of December 31, 2023, we had an accumulated deficit of $269.0 million. Our net losses were $65.8 million and $60.5 million for the years ended December 31, 2023 and 2022,</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respectively. These losses have resulted principally from costs incurred in connection with research and development activities, and selling, general and administrative costs associated with our operations. We expect to continue to incur significant expenses and operating losses for the foreseeable future due to the cost of research and development, including conducting preclinical studies and clinical trials, identifying and designing product candidates, the regulatory approval process for FYARRO, outside the United States and in additional indications and any other product candidates we may develop in the future, and the continued commercialization of FYARRO. We expect our expenses, and the potential for losses, to increase as we conduct clinical trials of FYARRO in additional indications and seek to expand our pipeline.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22, 2022, we received funding of $72.2 million, net from a private investment in public equity financing (the "2022 PIPE Financing") with certain investors (the "2022 PIPE Investors").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17, 2022, we entered into a Sales Agreement (the “Sales Agreement”) with Cowen and Company, LLC (“Cowen”), with respect to an “at the market offering” pursuant to which we may offer and sell, from time to time at our sole discretion, shares of our common stock having aggregate gross proceeds of up to $75.0 million through Cowen as our sales agent. Under the Sales Agreement, we will set the parameters for the sale of shares, including the number of shares to be issued, the time period during which sales are requested to be made, limitations on the number or dollar value of shares that may be sold in any one trading day and any minimum price below which sales may not be made. We will pay Cowen 3.0% of the aggregate gross proceeds from each sale of shares of common stock under the Sales Agreement. As of December 31, 2023, no shares of common stock had been sold under the Sales Agreement.</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shares of our common stock to be offered and sold under the Sales Agreement will be issued and sold pursuant to our shelf registration statement on the Form S-3 (File No. 333-255129) (the “Prior Registration Statement”), which was filed with the SEC on April 8, 2021, and which became effective on April 15, 2021, as the same may be replaced by our shelf registration statement on Form S-3 (File No. 333-277018) (the “New Registration Statement”), which was filed with the SEC on February 12, 2024, and which has not yet become effective. No securities have yet been sold under the Prior Registration Statement. The Prior Registration Statement will expire on April 15, 2024, the third anniversary of its effective date, but may continue to be used until the New Registration Statement becomes effective or until 180 days after the third anniversary of the Prior Registration Statement, whichever is earlier, as provided in Securities Act Rule 415. We filed a prospectus supplement with the SEC on March 21, 2022 in connection with the offer and sale of the shares pursuant to the Sales Agreement.</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Prior Registration Statement presently allows us, and the new Registration Statement will allow us, to sell from time to time up to $150.0 million of common stock, preferred stock, debt securities, warrants, or units comprised of any combination of these securities, for our own account in one or more offerings and is intended to provide us flexibility to conduct registered sales of our securities, subject to market conditions and our future capital needs. The terms of any offering thereunder will be established at the time of such offering and will be described in a prospectus supplement filed with the SEC prior to the completion of any such offering.</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22, 2022, the Company entered into the Purchase Agreement for the 2022 PIPE Financing with the 2022 PIPE Investors for the sale of 3,373,526 shares of our common stock for a price of $12.50 per share and Pre-Funded Warrants to purchase an aggregate of 2,426,493 shares of our common stock, at a purchase price of $12.4999 per Pre-Funded Warrant. The Pre-Funded Warrants are exercisable at an exercise price of $0.0001 and will be exercisable until exercised in full. The 2022 PIPE Financing closed on September 26, 2022. Aggregated net proceeds, after deducting certain expenses incurred of $0.3 million related to the issuance of the shares were $72.2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presented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3340" w:type="dxa"/>
            <w:vAlign w:val="bottom"/>
            <w:gridSpan w:val="5"/>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03"/>
        </w:trPr>
        <w:tc>
          <w:tcPr>
            <w:tcW w:w="79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(59,663)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(49,640)</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(132,886)</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72,620</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(109,906)</w:t>
            </w:r>
          </w:p>
        </w:tc>
      </w:tr>
      <w:tr>
        <w:trPr>
          <w:trHeight w:val="20"/>
        </w:trPr>
        <w:tc>
          <w:tcPr>
            <w:tcW w:w="7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used in operating activities primarily results from our net loss adjusted for non-cash expenses, changes in working capital components, amounts due to contract research organizations to conduct our clinical programs and employee-related expenditures for research and development and selling, general and administrative activities. Our cash flows from operating activities will continue to be affected by spending to advanced malignant PEComa, advance and support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FYARRO in additional indications in the clinic, and other operating and general administrative activities, including operating as a public company.</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cash used in operating activities was $59.7 million and resulted from (i) our net loss of $65.8 million, (ii) a $3.4 million net increase in our operating assets and liabilities, primarily driven by an increase in accounts receivable, inventory, and accounts payable, offset by a decrease in prepaid expenses and other current assets and accrued liabilities, and (iii) by net non-cash adjustments totaling $9.5 million, which were primarily related to share-based compensation expense, discount amortization on short-term investments, lease expense, and depreciation and amortization expense.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2022, cash used in operating activities was $49.6 million and resulted from (i) our net loss of $60.5 million, and (ii) a $1.8 million net increase in our operating assets and liabilities, primarily driven by an increase in accounts receivable, prepaid expenses, inventory related to the commercial launch of FYARRO in February 2022, and accrued expenses; offset by a decrease in accounts payable, and (iii) $12.7 million in non-cash adjustments, which were primarily related to share-based compensation expense, the impairment of the contract intangible asset, and depreciation and amortization expense.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investing activities for the year ended December 31, 2023 related to maturities of short-term investments of $151.6 million, offset by purchases of fixed assets of $4.0 million and short-term investments of $64.4 million.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2022 related to purchases of short-term investments of $145.2 million offset by maturities of $12.8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2023 was $0.3 million and related to the issuance of common stock under the employee stock purchase plan and exercise of stock options, offset by financing costs related to the Sales Agreement.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2022 related to $72.5 million gross cash proceeds from our 2022 PIPE Financing, $0.4 million from exercise of stock options and $0.3 million in proceeds from the issuances of stock under the ESPP, offset by $0.7 million of financing costs related to the 2021 PIPE Financing and the 2022 PIPE Financing.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April 2022, we entered into a lease for 10,615 square feet of office space in Morristown, New Jersey. The term of the lease is seventy-three months unless terminated sooner.</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August 2021, we entered into an amendment to extend the lease of our 2,760 square feet of office space in Pacific Palisades, California. We </w:t>
      </w:r>
      <w:r>
        <w:rPr>
          <w:rFonts w:ascii="Times New Roman" w:cs="Times New Roman" w:eastAsia="Times New Roman" w:hAnsi="Times New Roman"/>
          <w:sz w:val="18"/>
          <w:szCs w:val="18"/>
          <w:color w:val="231F20"/>
        </w:rPr>
        <w:t>exercised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option, under our prior lease agreement, to extend the term of the lease for an additional three-year period. Included in the renewal were nine months of rent abatement and a rent escalation clause.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Rent expense is being recorded on a straight-line basis. Rent expense related to the Pacific Palisades and Morristown leases was $0.5 million and $0.4 million for the years ended December 31, 2023 and 2022, respectively. See Note 7 to the consolidated financial statements for details related to future lease payments.</w:t>
      </w:r>
    </w:p>
    <w:p>
      <w:pPr>
        <w:spacing w:after="0" w:line="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January 2022, we entered into a Negotiated Purchase Order Terms and Conditions for Clinical and Commercial Product, as amended effective as of August 1, 2022 (the “Fresenius Agreement”), with Fresenius Kabi, LLC (“Fresenius Kabi”), pursuant to which Fresenius Kabi will manufacture FYARRO for us and we will purchase FYARRO as a finished drug product from Fresenius Kabi, on a purchase-order basis. The Fresenius Agreement contains specific activities such as non-cancellable commitments, minimum purchase commitments, and binding annual forecasts. The Fresenius Agreement is effective through March 31, 2024 (or such later date as may be agreed between the parties in writing) and we are currently negotiating an extension to such agreement. Under the Fresenius Agreement, we may purchase FYARRO for either clinical or commercial purposes for use in the United States and Canada.</w:t>
      </w:r>
    </w:p>
    <w:p>
      <w:pPr>
        <w:spacing w:after="0" w:line="6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 October 2022, we entered into a collaboration and supply agreement with Mirati to evaluate the combination of Mirati’s adagrasib, a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selective inhibitor, and FYARRO in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mutant non-small cell lung cancer (NSCLC) and other solid tumors. Under the terms of the agreement, Mirati will be responsible for sponsoring and operating the Phase 1/2 study and we will supply study drug and jointly share the cost of the study.</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contracts with various organizations to conduct research and development activities, including clinical trial organizations to manage clinical trial activities and manufacturing companies to manufacture the drug product used in the clinical trials. The scope of the services under these research and development contracts can be modified and the contracts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cancelled by us upon written notice. In the event of a cancellation, we would be liable for the cost and expenses incurred to date as well as any close out costs of the service arrangement.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generally accepted accounting principles (“GAAP”). These accounting principles require us to make certain estimates, judgments and assumptions that affect the reported amounts of assets and liabilities as of the date of the financial statements, as well as the reported amounts of revenues and expenses during the periods presented. We believe that the estimates, judgments and assumptions are reasonable based upon information available to us at the time that these estimates, judgments and assumptions are made. To the extent there are material differences between these estimates, judgments or assumptions and actual results, our financial statements will be affected. Historically, revisions to our estimates have not resulted in a material change to our financial statements.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described in more detail in the notes to our consolidated financial statements appearing elsewhere in this Annual Report on Form 10-K.</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 following accounting judgments and estimates involve the most significant levels of estimation uncertainty and also have had, or are reasonably likely to have, a material impact on our financial condition or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revenue when a customer obtains control of promised goods or services, in an amount that reflects the consideration which the entity expects to receive in exchange for those goods or services. To determine revenue recognition for arrangements that we determine are within the scope of ASC Topic 606, Revenue from Contracts with Customer (“Topic 606”), the following five steps are performed: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sell our product primarily through a limited number of specialty distributors (SDs) and specialty pharmacy (SP) customers. The delivery of our product represents a single performance obligation for these transactions, and we record net product sales when control is transferred to the customer, which occurs upon receipt by the customer. The transaction price for net product sales represents the amount we expect to receive, which is net of estimated distribution fees, government-mandated rebates, chargebacks, co-payment assistance, and estimated product returns. Accruals are established for these deductions, and actual amounts incurred are offset against applicable accruals. We reflect these accruals as either a reduction in the related account receivable from the distributor or as an accrued liability, depending on the nature of the sales deduction. Sales deductions are based on management's estimates that consider channel mix and experience to date.</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Estimates are assessed periodically and updated to reflect current information. These estimates involve a substantial degree of judgment, in particular, for government-mandated rebates and chargebacks, such as for the Medicaid and 340B programs.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 Costs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We incur substantial expenses associated with clinical trials. Accounting for clinical trials relating to activities performed by CROs and other external vendors requires us to exercise significant estimates in regard to the timing and accounting for these expenses. We estimate costs of research and development activities conducted by service providers, which include, the conduct of preclinical studies, contract manufacturing activities and clinical activities. The diverse nature of services being provided under CRO and other vendor arrangements, the different terms and milestone arrangements that exist for each type of service and the lack of timely information related to certain clinical activities complicates the estimation of accruals for services rendered by CROs and other vendors in connection with clinical trials. We record the estimated costs of research and development activities based upon the estimated amount of services provided but not yet invoiced and include these costs in the accrued and other current liabilities or prepaid expenses, as applicable, on the balance sheets and within research and development expense on the consolidated statements of operations and comprehensive loss. In estimating the duration of a clinical study, we evaluate the start-up, treatment and wrap-up periods, payment arrangements and services rendered attributable to each clinical trial and fluctuations are regularly tested against payment plans and trial completion assumptions.</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We estimate these costs based on factors such as estimates of the work completed and budget provided and in accordance with agreements established with our collaboration partners and third-party service providers. We make significant judgments and estimates in determining the accrued liabilities and prepaid expense balances in each reporting period. As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actual costs become known, we adjust our estimates and related accounts on the balance sheet. We have not experienced any material differences between accrued costs and actual costs incurred since our inception.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Our expenses related to clinical trials are based on estimates of patient enrollment and related expenses at clinical investigator sites as well as estimates for the services received and efforts expended pursuant to contracts with multiple research institutions and CROs that may be used to conduct and manage clinical trials on our behalf. We generally accrue expenses related to clinical trials based on contracted amounts applied to the level of patient enrollment and activity. If timelines or contracts are modified based upon changes in the clinical trial protocol or scope of work to be performed, we modify our estimates of accrued expenses accordingly on a prospective basis.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all share-based payments to employees, including grants of employee stock options, employee stock purchase plan, and restricted stock units in the consolidated statements of operations and comprehensive loss based on their fair values. All of our share-based awards, to employees, non-employees, officers, and directors, are subject only to service-based vesting conditions. Options granted during the year have a minimum contractual term of ten years.</w:t>
      </w:r>
    </w:p>
    <w:p>
      <w:pPr>
        <w:spacing w:after="0" w:line="72"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Compensation expense related to awards to employees is calculated on a straight-line basis by recognizing the grant date fair value over the associated service period of the award, which is generally the vesting term. For the years ended December 31, 2023 and 2022, we recognized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in the statements of operations and comprehensive loss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7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r>
      <w:tr>
        <w:trPr>
          <w:trHeight w:val="203"/>
        </w:trPr>
        <w:tc>
          <w:tcPr>
            <w:tcW w:w="79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7"/>
                <w:szCs w:val="17"/>
                <w:color w:val="auto"/>
              </w:rPr>
            </w:pPr>
          </w:p>
        </w:tc>
      </w:tr>
      <w:tr>
        <w:trPr>
          <w:trHeight w:val="23"/>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As of December 31, 2023, total unamortized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was $25.3 million which we expect to recognize over a weighted average period of 2.5 years. As of December 31, 2023, there was $0.1 million of unrecognized compensation cost related to restricted stock units, which is expected to be recognized over a weighted average period of nine months. The intrinsic value of all outstanding stock options as of December 31, 2023 was $24,900.</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consolidated financial statements for a discussion of recent accounting pronouncements.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by this Item.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Beginning on the following page are the consolidated financial statements with applicable notes and the related Report of Independent Registered Public Accounting Firm.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83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920" w:type="dxa"/>
            <w:vAlign w:val="bottom"/>
          </w:tcPr>
          <w:p>
            <w:pPr>
              <w:spacing w:after="0"/>
              <w:rPr>
                <w:sz w:val="17"/>
                <w:szCs w:val="17"/>
                <w:color w:val="auto"/>
              </w:rPr>
            </w:pPr>
          </w:p>
        </w:tc>
      </w:tr>
      <w:tr>
        <w:trPr>
          <w:trHeight w:val="939"/>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1900" w:type="dxa"/>
            <w:vAlign w:val="bottom"/>
          </w:tcPr>
          <w:p>
            <w:pPr>
              <w:spacing w:after="0"/>
              <w:rPr>
                <w:sz w:val="24"/>
                <w:szCs w:val="24"/>
                <w:color w:val="auto"/>
              </w:rPr>
            </w:pPr>
          </w:p>
        </w:tc>
        <w:tc>
          <w:tcPr>
            <w:tcW w:w="51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29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8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(BDO USA, P.C., San Diego, CA, PCAOB ID#243)</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0"/>
        </w:trPr>
        <w:tc>
          <w:tcPr>
            <w:tcW w:w="2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2023 and 2022</w:t>
            </w:r>
          </w:p>
        </w:tc>
        <w:tc>
          <w:tcPr>
            <w:tcW w:w="3640" w:type="dxa"/>
            <w:vAlign w:val="bottom"/>
            <w:gridSpan w:val="3"/>
          </w:tcPr>
          <w:p>
            <w:pPr>
              <w:spacing w:after="0"/>
              <w:rPr>
                <w:sz w:val="18"/>
                <w:szCs w:val="18"/>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9"/>
        </w:trPr>
        <w:tc>
          <w:tcPr>
            <w:tcW w:w="20" w:type="dxa"/>
            <w:vAlign w:val="bottom"/>
          </w:tcPr>
          <w:p>
            <w:pPr>
              <w:spacing w:after="0"/>
              <w:rPr>
                <w:sz w:val="18"/>
                <w:szCs w:val="18"/>
                <w:color w:val="auto"/>
              </w:rPr>
            </w:pPr>
          </w:p>
        </w:tc>
        <w:tc>
          <w:tcPr>
            <w:tcW w:w="83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 for the Years ended December 31, 2023 and 2022</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9"/>
        </w:trPr>
        <w:tc>
          <w:tcPr>
            <w:tcW w:w="20" w:type="dxa"/>
            <w:vAlign w:val="bottom"/>
          </w:tcPr>
          <w:p>
            <w:pPr>
              <w:spacing w:after="0"/>
              <w:rPr>
                <w:sz w:val="18"/>
                <w:szCs w:val="18"/>
                <w:color w:val="auto"/>
              </w:rPr>
            </w:pPr>
          </w:p>
        </w:tc>
        <w:tc>
          <w:tcPr>
            <w:tcW w:w="8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2023 and 2022</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0"/>
        </w:trPr>
        <w:tc>
          <w:tcPr>
            <w:tcW w:w="20" w:type="dxa"/>
            <w:vAlign w:val="bottom"/>
          </w:tcPr>
          <w:p>
            <w:pPr>
              <w:spacing w:after="0"/>
              <w:rPr>
                <w:sz w:val="18"/>
                <w:szCs w:val="18"/>
                <w:color w:val="auto"/>
              </w:rPr>
            </w:pPr>
          </w:p>
        </w:tc>
        <w:tc>
          <w:tcPr>
            <w:tcW w:w="71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and 2022</w:t>
            </w:r>
          </w:p>
        </w:tc>
        <w:tc>
          <w:tcPr>
            <w:tcW w:w="1140" w:type="dxa"/>
            <w:vAlign w:val="bottom"/>
          </w:tcPr>
          <w:p>
            <w:pPr>
              <w:spacing w:after="0"/>
              <w:rPr>
                <w:sz w:val="18"/>
                <w:szCs w:val="18"/>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9"/>
        </w:trPr>
        <w:tc>
          <w:tcPr>
            <w:tcW w:w="20" w:type="dxa"/>
            <w:vAlign w:val="bottom"/>
          </w:tcPr>
          <w:p>
            <w:pPr>
              <w:spacing w:after="0"/>
              <w:rPr>
                <w:sz w:val="18"/>
                <w:szCs w:val="18"/>
                <w:color w:val="auto"/>
              </w:rPr>
            </w:pPr>
          </w:p>
        </w:tc>
        <w:tc>
          <w:tcPr>
            <w:tcW w:w="31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320" w:type="dxa"/>
            <w:vAlign w:val="bottom"/>
            <w:tcBorders>
              <w:top w:val="single" w:sz="8" w:color="0000FF"/>
            </w:tcBorders>
            <w:gridSpan w:val="3"/>
          </w:tcPr>
          <w:p>
            <w:pPr>
              <w:spacing w:after="0"/>
              <w:rPr>
                <w:sz w:val="18"/>
                <w:szCs w:val="18"/>
                <w:color w:val="auto"/>
              </w:rPr>
            </w:pPr>
          </w:p>
        </w:tc>
        <w:tc>
          <w:tcPr>
            <w:tcW w:w="1820" w:type="dxa"/>
            <w:vAlign w:val="bottom"/>
            <w:gridSpan w:val="2"/>
          </w:tcPr>
          <w:p>
            <w:pPr>
              <w:spacing w:after="0"/>
              <w:rPr>
                <w:sz w:val="18"/>
                <w:szCs w:val="18"/>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1033"/>
        </w:trPr>
        <w:tc>
          <w:tcPr>
            <w:tcW w:w="650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color w:val="auto"/>
              </w:rPr>
              <w:t>114</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Aadi Bioscience,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Pacific Palisades, California</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Aadi Bioscience, Inc. (the “Company”) as of December 31, 2023 and 2022, the related consolidated statements of operations and comprehensive loss,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years then ended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Allowances for Chargebacks and Government Rebates</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revenue from product sales is recognized net of estimates for variable consideration consisting of chargebacks, government rebates, distribution fees, co-payment assistance, and product returns. This variable consideration is recorded in the same period that the related revenue is recognized and creates variability for the consideration that the Company expects to receive. Liabilities related to government rebates and chargebacks involve the use of assumptions and judgments that include consideration of historical claims experience and channel mix.</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identified management's estimated allowance for government rebates and chargebacks as a critical audit matter. The principal consideration that led to our determination is the judgment required to estimate government rebates and chargebacks that will be processed based upon the experience to date. Auditing these elements involved challenging auditor judgment due to the nature and extent of audit effort required to address these matters.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239" w:lineRule="exact"/>
        <w:rPr>
          <w:sz w:val="20"/>
          <w:szCs w:val="20"/>
          <w:color w:val="auto"/>
        </w:rPr>
      </w:pPr>
    </w:p>
    <w:p>
      <w:pPr>
        <w:jc w:val="both"/>
        <w:ind w:left="660" w:hanging="328"/>
        <w:spacing w:after="0" w:line="250"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independent estimate of the allowance for government rebates and chargebacks by utilizing product sales, the historical trend of actual rebates and chargebacks claims paid; (ii) comparing the independent estimate to management’s estimate; and (iii) testing historical rebate and chargebacks claims received.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BDO USA, P.C.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AADI BIOSCIENCE, INC.</w:t>
      </w:r>
    </w:p>
    <w:p>
      <w:pPr>
        <w:spacing w:after="0" w:line="1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 and par value)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03"/>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6"/>
        </w:trPr>
        <w:tc>
          <w:tcPr>
            <w:tcW w:w="8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39,019</w:t>
            </w: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133,541</w:t>
            </w: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180,029</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184,237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w:t>
            </w: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14,922</w:t>
            </w: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to licensor payable (Note 8)</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licensor (Note 8)</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w:t>
            </w: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5"/>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 and outstanding as of</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1"/>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2023 and 2022</w:t>
            </w:r>
          </w:p>
        </w:tc>
        <w:tc>
          <w:tcPr>
            <w:tcW w:w="34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$0.0001 par value, 300,000,000 shares authorized; 24,554,205 and 24,435,007 shares issued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1"/>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outstanding as of December 31, 2023 and 2022, respectively</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361,689</w:t>
            </w: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(203,198)</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158,378</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184,237</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AADI BIOSCIENCE,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 and earnings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03"/>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15,216</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15,216</w:t>
            </w: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40,176</w:t>
            </w: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32,662</w:t>
            </w: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of acquired contract intangible asset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w:t>
            </w: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77,897</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loss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r>
      <w:tr>
        <w:trPr>
          <w:trHeight w:val="229"/>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(60,513)</w:t>
            </w: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8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(65,765)</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(60,513)</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8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income (loss) on available-for-sale debt securities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8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9"/>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common shares outstanding, basic and diluted</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26,917,967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22,511,237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AADI BIOSCIENCE, INC.</w:t>
      </w:r>
    </w:p>
    <w:p>
      <w:pPr>
        <w:spacing w:after="0" w:line="1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including share amounts)</w:t>
      </w:r>
    </w:p>
    <w:p>
      <w:pPr>
        <w:spacing w:after="0" w:line="133" w:lineRule="exact"/>
        <w:rPr>
          <w:sz w:val="20"/>
          <w:szCs w:val="20"/>
          <w:color w:val="auto"/>
        </w:rPr>
      </w:pPr>
    </w:p>
    <w:p>
      <w:pPr>
        <w:jc w:val="right"/>
        <w:ind w:right="3180"/>
        <w:spacing w:after="0"/>
        <w:rPr>
          <w:sz w:val="20"/>
          <w:szCs w:val="20"/>
          <w:color w:val="auto"/>
        </w:rPr>
      </w:pPr>
      <w:r>
        <w:rPr>
          <w:rFonts w:ascii="Times New Roman" w:cs="Times New Roman" w:eastAsia="Times New Roman" w:hAnsi="Times New Roman"/>
          <w:sz w:val="14"/>
          <w:szCs w:val="14"/>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33655</wp:posOffset>
            </wp:positionV>
            <wp:extent cx="48691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171" w:lineRule="exact"/>
        <w:rPr>
          <w:sz w:val="20"/>
          <w:szCs w:val="20"/>
          <w:color w:val="auto"/>
        </w:rPr>
      </w:pPr>
    </w:p>
    <w:tbl>
      <w:tblPr>
        <w:tblLayout w:type="fixed"/>
        <w:tblInd w:w="3580" w:type="dxa"/>
        <w:tblCellMar>
          <w:top w:w="0" w:type="dxa"/>
          <w:left w:w="0" w:type="dxa"/>
          <w:bottom w:w="0" w:type="dxa"/>
          <w:right w:w="0" w:type="dxa"/>
        </w:tblCellMar>
      </w:tblPr>
      <w:tr>
        <w:trPr>
          <w:trHeight w:val="161"/>
        </w:trPr>
        <w:tc>
          <w:tcPr>
            <w:tcW w:w="18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8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1860" w:type="dxa"/>
            <w:vAlign w:val="bottom"/>
            <w:gridSpan w:val="2"/>
            <w:vMerge w:val="continue"/>
          </w:tcPr>
          <w:p>
            <w:pPr>
              <w:spacing w:after="0"/>
              <w:rPr>
                <w:sz w:val="9"/>
                <w:szCs w:val="9"/>
                <w:color w:val="auto"/>
              </w:rPr>
            </w:pPr>
          </w:p>
        </w:tc>
        <w:tc>
          <w:tcPr>
            <w:tcW w:w="1480" w:type="dxa"/>
            <w:vAlign w:val="bottom"/>
            <w:vMerge w:val="restart"/>
          </w:tcPr>
          <w:p>
            <w:pPr>
              <w:jc w:val="center"/>
              <w:ind w:left="8"/>
              <w:spacing w:after="0" w:line="127" w:lineRule="exact"/>
              <w:rPr>
                <w:sz w:val="20"/>
                <w:szCs w:val="20"/>
                <w:color w:val="auto"/>
              </w:rPr>
            </w:pPr>
            <w:r>
              <w:rPr>
                <w:rFonts w:ascii="Times New Roman" w:cs="Times New Roman" w:eastAsia="Times New Roman" w:hAnsi="Times New Roman"/>
                <w:sz w:val="14"/>
                <w:szCs w:val="14"/>
                <w:b w:val="1"/>
                <w:bCs w:val="1"/>
                <w:color w:val="auto"/>
              </w:rPr>
              <w:t>Additional Paid-In</w:t>
            </w:r>
          </w:p>
        </w:tc>
        <w:tc>
          <w:tcPr>
            <w:tcW w:w="146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80" w:type="dxa"/>
            <w:vAlign w:val="bottom"/>
          </w:tcPr>
          <w:p>
            <w:pPr>
              <w:spacing w:after="0"/>
              <w:rPr>
                <w:sz w:val="9"/>
                <w:szCs w:val="9"/>
                <w:color w:val="auto"/>
              </w:rPr>
            </w:pPr>
          </w:p>
        </w:tc>
        <w:tc>
          <w:tcPr>
            <w:tcW w:w="1300" w:type="dxa"/>
            <w:vAlign w:val="bottom"/>
            <w:vMerge w:val="restart"/>
          </w:tcPr>
          <w:p>
            <w:pPr>
              <w:jc w:val="center"/>
              <w:ind w:left="48"/>
              <w:spacing w:after="0" w:line="127"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8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3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4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80" w:type="dxa"/>
            <w:vAlign w:val="bottom"/>
            <w:vMerge w:val="continue"/>
          </w:tcPr>
          <w:p>
            <w:pPr>
              <w:spacing w:after="0"/>
              <w:rPr>
                <w:sz w:val="16"/>
                <w:szCs w:val="16"/>
                <w:color w:val="auto"/>
              </w:rPr>
            </w:pPr>
          </w:p>
        </w:tc>
        <w:tc>
          <w:tcPr>
            <w:tcW w:w="130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tbl>
      <w:tblPr>
        <w:tblLayout w:type="fixed"/>
        <w:tblInd w:w="20" w:type="dxa"/>
        <w:tblCellMar>
          <w:top w:w="0" w:type="dxa"/>
          <w:left w:w="0" w:type="dxa"/>
          <w:bottom w:w="0" w:type="dxa"/>
          <w:right w:w="0" w:type="dxa"/>
        </w:tblCellMar>
      </w:tblPr>
      <w:tr>
        <w:trPr>
          <w:trHeight w:val="214"/>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20,895</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356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options</w:t>
            </w: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56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Issuance of common stock upon exercise of</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warrants</w:t>
            </w: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56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Issuance of shares under the employee stock</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plan</w:t>
            </w: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56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Issuance of common stock to PIPE Investors, net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 issuance costs</w:t>
            </w: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Unrealized loss on investments, net of tax</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24,435</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560" w:type="dxa"/>
            <w:vAlign w:val="bottom"/>
            <w:vMerge w:val="restart"/>
          </w:tcPr>
          <w:p>
            <w:pPr>
              <w:ind w:left="120"/>
              <w:spacing w:after="0" w:line="169"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560" w:type="dxa"/>
            <w:vAlign w:val="bottom"/>
            <w:vMerge w:val="continue"/>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options</w:t>
            </w: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56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Issuance of shares under the employee stock</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plan</w:t>
            </w: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Unrealized gain on investments, net of tax</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24,554</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-2365375</wp:posOffset>
            </wp:positionV>
            <wp:extent cx="7132320" cy="2400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-1988185</wp:posOffset>
            </wp:positionV>
            <wp:extent cx="7132320" cy="2400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-830580</wp:posOffset>
            </wp:positionV>
            <wp:extent cx="71323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6"/>
              </w:rPr>
              <w:t>279,089</w:t>
            </w:r>
          </w:p>
        </w:tc>
        <w:tc>
          <w:tcPr>
            <w:tcW w:w="56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(142,685)</w:t>
            </w:r>
          </w:p>
        </w:tc>
        <w:tc>
          <w:tcPr>
            <w:tcW w:w="8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136,406</w:t>
            </w:r>
          </w:p>
        </w:tc>
      </w:tr>
      <w:tr>
        <w:trPr>
          <w:trHeight w:val="378"/>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401</w:t>
            </w:r>
          </w:p>
        </w:tc>
        <w:tc>
          <w:tcPr>
            <w:tcW w:w="5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378"/>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55</w:t>
            </w:r>
          </w:p>
        </w:tc>
        <w:tc>
          <w:tcPr>
            <w:tcW w:w="5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6"/>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9,643</w:t>
            </w:r>
          </w:p>
        </w:tc>
        <w:tc>
          <w:tcPr>
            <w:tcW w:w="5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9,643</w:t>
            </w:r>
          </w:p>
        </w:tc>
      </w:tr>
      <w:tr>
        <w:trPr>
          <w:trHeight w:val="378"/>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323</w:t>
            </w:r>
          </w:p>
        </w:tc>
        <w:tc>
          <w:tcPr>
            <w:tcW w:w="5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r>
      <w:tr>
        <w:trPr>
          <w:trHeight w:val="378"/>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72,178</w:t>
            </w:r>
          </w:p>
        </w:tc>
        <w:tc>
          <w:tcPr>
            <w:tcW w:w="5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72,178</w:t>
            </w:r>
          </w:p>
        </w:tc>
      </w:tr>
      <w:tr>
        <w:trPr>
          <w:trHeight w:val="216"/>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6"/>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(60,513)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(60,513)</w:t>
            </w:r>
          </w:p>
        </w:tc>
      </w:tr>
      <w:tr>
        <w:trPr>
          <w:trHeight w:val="213"/>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6"/>
              </w:rPr>
              <w:t>361,689</w:t>
            </w: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(203,198)</w:t>
            </w:r>
          </w:p>
        </w:tc>
        <w:tc>
          <w:tcPr>
            <w:tcW w:w="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158,378</w:t>
            </w:r>
          </w:p>
        </w:tc>
      </w:tr>
      <w:tr>
        <w:trPr>
          <w:trHeight w:val="23"/>
        </w:trPr>
        <w:tc>
          <w:tcPr>
            <w:tcW w:w="6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39"/>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78</w:t>
            </w:r>
          </w:p>
        </w:tc>
        <w:tc>
          <w:tcPr>
            <w:tcW w:w="5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6"/>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11,954</w:t>
            </w:r>
          </w:p>
        </w:tc>
        <w:tc>
          <w:tcPr>
            <w:tcW w:w="5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11,954</w:t>
            </w:r>
          </w:p>
        </w:tc>
      </w:tr>
      <w:tr>
        <w:trPr>
          <w:trHeight w:val="378"/>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408</w:t>
            </w:r>
          </w:p>
        </w:tc>
        <w:tc>
          <w:tcPr>
            <w:tcW w:w="5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16"/>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6"/>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(65,765)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(65,765)</w:t>
            </w:r>
          </w:p>
        </w:tc>
      </w:tr>
      <w:tr>
        <w:trPr>
          <w:trHeight w:val="213"/>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6"/>
              </w:rPr>
              <w:t>374,129</w:t>
            </w: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(268,963)</w:t>
            </w:r>
          </w:p>
        </w:tc>
        <w:tc>
          <w:tcPr>
            <w:tcW w:w="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105,195</w:t>
            </w:r>
          </w:p>
        </w:tc>
      </w:tr>
      <w:tr>
        <w:trPr>
          <w:trHeight w:val="23"/>
        </w:trPr>
        <w:tc>
          <w:tcPr>
            <w:tcW w:w="6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-8255</wp:posOffset>
            </wp:positionV>
            <wp:extent cx="8572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-1062355</wp:posOffset>
            </wp:positionV>
            <wp:extent cx="8572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5640" w:space="660"/>
            <w:col w:w="4940"/>
          </w:cols>
          <w:pgMar w:left="320" w:top="12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AADI BIOSCIENCE, INC.</w:t>
      </w:r>
    </w:p>
    <w:p>
      <w:pPr>
        <w:spacing w:after="0" w:line="1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03"/>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(60,513)</w:t>
            </w:r>
          </w:p>
        </w:tc>
      </w:tr>
      <w:tr>
        <w:trPr>
          <w:trHeight w:val="23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of acquired contract intangible asset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premiums and discounts on short-term investments,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lease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(145,192)</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(132,886)</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warrants to PIPE Investors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72,500</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issuance under employee stock purchase plan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common stock upon exercise of warrants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offering costs paid for financing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Costs incurred in connection with issuance of common stock</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72,620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(109,906)</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148,989</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AADI BIOSCIENCE, INC.</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03"/>
        </w:trPr>
        <w:tc>
          <w:tcPr>
            <w:tcW w:w="8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incurred in connection with issuance of common stock paid during the period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transaction costs included in accounts payable and accrued liabilities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accrued for purchases of property and equipment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Organization and Operations</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Aadi Bioscience, Inc. (together with its subsidiaries, the “Company” or “Aadi”) is a biopharmaceutical company focused on developing and commercializing precision therapies for cancers with alterations in the mTOR pathway, a key regulator of cell growth and cancer progression. Aadi’s lead drug product, FYARRO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combines two established technologies — nanoparticle albumin-bound (</w:t>
      </w:r>
      <w:r>
        <w:rPr>
          <w:rFonts w:ascii="Times New Roman" w:cs="Times New Roman" w:eastAsia="Times New Roman" w:hAnsi="Times New Roman"/>
          <w:sz w:val="18"/>
          <w:szCs w:val="18"/>
          <w:i w:val="1"/>
          <w:iCs w:val="1"/>
          <w:color w:val="auto"/>
        </w:rPr>
        <w:t>nab</w:t>
      </w:r>
      <w:r>
        <w:rPr>
          <w:rFonts w:ascii="Times New Roman" w:cs="Times New Roman" w:eastAsia="Times New Roman" w:hAnsi="Times New Roman"/>
          <w:sz w:val="18"/>
          <w:szCs w:val="18"/>
          <w:color w:val="auto"/>
        </w:rPr>
        <w:t xml:space="preserve">) technology and the anti-cancer agent, sirolimus. </w:t>
      </w:r>
      <w:r>
        <w:rPr>
          <w:rFonts w:ascii="Times New Roman" w:cs="Times New Roman" w:eastAsia="Times New Roman" w:hAnsi="Times New Roman"/>
          <w:sz w:val="18"/>
          <w:szCs w:val="18"/>
          <w:i w:val="1"/>
          <w:iCs w:val="1"/>
          <w:color w:val="auto"/>
        </w:rPr>
        <w:t>Nab</w:t>
      </w:r>
      <w:r>
        <w:rPr>
          <w:rFonts w:ascii="Times New Roman" w:cs="Times New Roman" w:eastAsia="Times New Roman" w:hAnsi="Times New Roman"/>
          <w:sz w:val="18"/>
          <w:szCs w:val="18"/>
          <w:color w:val="auto"/>
        </w:rPr>
        <w:t>-sirolimus is a potent inhibitor of the mTOR biological pathway with demonstrated anti-cancer activity in Aadi's lead indication, advanced unresectable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metastatic malignant perivascular epithelioid cell tumor (“PEComa”), a rare cancer. In November 2021, the U.S. Food and Drug Administration (the “FDA”) approved FYARRO sirolimus protein-bound particles for injectable suspension (albumin-bound) for the treatment of adult patients with locally advanced unresectable or metastatic malignant PEComa. On February 22, 2022, Aadi launched FYARRO in the United States for treatment of advanced malignant PEComa. FYARRO is licensed to Aadi by Abraxis BioScience, LLC, a wholly owned subsidiary of Celgene Corporation, which is a wholly owned subsidiary of Bristol-Myers Squibb Company ("BMS").</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historical operations have consisted principally of sales of FYARRO after receiving FDA approval, performing research and development activities and raising capital. The Company’s activities are subject to significant risks and uncertainties, including failing to secure additional funding before sustainable revenues and profit from operations are achieved.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Liquidity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Since inception, the Company has devoted substantially all of its resources to research and development activities, business planning, establishing and maintaining its intellectual property portfolio, hiring personnel, raising capital and providing general and administrative support for these operations and has only recently begun to realize revenues from its planned principal operations commencing with the commercial sale of FYARRO.</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experienced net losses since its inception and expects to continue to incur net losses into the foreseeable future. As of and for the year ended December 31, 2023, the Company had an accumulated deficit of $269.0 million and a net loss of $65.8 million. T</w:t>
      </w:r>
      <w:r>
        <w:rPr>
          <w:rFonts w:ascii="Times New Roman" w:cs="Times New Roman" w:eastAsia="Times New Roman" w:hAnsi="Times New Roman"/>
          <w:sz w:val="18"/>
          <w:szCs w:val="18"/>
          <w:color w:val="231F20"/>
        </w:rPr>
        <w:t>o date, these operating losses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been funded primarily from sales of FYARRO, outside sources of invested capital through the issuance of convertible promissory notes, grant funding, the sale of securities, and proceeds from license agreements.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 xml:space="preserve">The Company had cash, cash equivalents and short term investments of $108.8 million </w:t>
      </w:r>
      <w:r>
        <w:rPr>
          <w:rFonts w:ascii="Times New Roman" w:cs="Times New Roman" w:eastAsia="Times New Roman" w:hAnsi="Times New Roman"/>
          <w:sz w:val="18"/>
          <w:szCs w:val="18"/>
          <w:color w:val="000000"/>
        </w:rPr>
        <w:t>at December 31, 2023. Management believes the Company’s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current cash, cash equivalents and short-term investments will provide sufficient funds to enable the Company to meet its obligations for at least twelve months from the filing date of this report. If the Company is unable to achieve and maintain profitability, it will need additional financing to support its continuing operations and pursue its strategic objectives. Additional financing may be achieved through a combination of equity offerings, and debt financings. The Company may be unable to raise additional funds or enter into such other agreements when needed on favorable terms or at all.</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17, 2022, the Company entered into a Sales Agreement (the “Sales Agreement”) with Cowen and Company, LLC (“Cowen”), pursuant to which the Company may offer and sell, from time to time at the Company’s sole discretion, shares of its common stock having an aggregate offering price of up to $75.0 million through Cowen as its sales agent for an at-the-marketing-offering. Any sales under the Sales Agreement may result in dilution to existing shareholders. As of December 31, 2023, no shares of common stock had been sold under this Sales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and the related disclosures, have been prepared in accordance with accounting principles generally accepted in the United States ("GAAP") and U.S. Securities and Exchange Commission ("SEC") regulations and, in the opinion of management include all adjustments necessary for a fair presentation of the results of operations, financial position, changes in stockholders’ equity and cash flows for each period presented. Any reference in these notes to applicable guidance is meant to refer to the authoritative GAAP as found in the Accounting Standards Codification (“ASC”) and Accounting Standards Updates (“ASU”) of the Financial Accounting Standards Board (“FASB”). All adjustments are of a normal recurring nature. The Company’s consolidated financial statements are stated in U.S. dollars. Certain prior year amounts have been reclassified to conform to the current year presentation.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the change in equity during a period from transactions and other events and circumstances from non-owner sources, including unrealized gains and losses on short-term investments. Comprehensive loss has been reflected in the consolidated statements of operations and comprehensive loss for all periods presented.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has identified its Chief Executive Officer as the chief operating decision maker and the Company views its operations and manages its business in one operating segment, which is the business of developing and commercializing proprietary therapeutics. All the assets and operations of the Company’s sole operating and reportable segment are located in the United States.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impact the reported amounts of assets, liabilities, revenues and expenses, and the disclosure of contingent assets and liabilities in the Company’s consolidated financial statements and accompanying notes. In the opinion of management, all adjustments that are considered necessary for fair presentation have been included. The most significant estimates in the Company’s consolidated financial statements relate to gross-to-net accruals, share-based compensation expense and accrued research and development costs. Although these estimates are based on the Company’s knowledge of current events and actions it may undertake in the future, actual results may materially differ from these estimates and assumptions.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Concentrat</w:t>
      </w:r>
      <w:r>
        <w:rPr>
          <w:rFonts w:ascii="Times New Roman" w:cs="Times New Roman" w:eastAsia="Times New Roman" w:hAnsi="Times New Roman"/>
          <w:sz w:val="18"/>
          <w:szCs w:val="18"/>
          <w:b w:val="1"/>
          <w:bCs w:val="1"/>
          <w:i w:val="1"/>
          <w:iCs w:val="1"/>
          <w:color w:val="000000"/>
        </w:rPr>
        <w:t>ion of Credit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consist primarily of cash and cash equivalents, and available-for-sale marketable debt securities. The Company maintains deposits in federally insured financial institutions in excess of federally insured limits. Management believes that the Company is not exposed to significant credit risk due to the financial position of the depository institutions in which those deposits are held. While the Company has not experienced any losses in such deposits, the recent failure of Silicon Valley Bank, at which the Company holds cash and cash equivalents in multiple accounts, exposed the Company to credit risk prior to the resolution by the Federal Deposit Insurance Corporation in a manner that fully protected all depositors. The Company has not experienced any losses on deposits since inception.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accounts receivable is derived from customers located in the United States. The Company performs ongoing credit evaluations of its customers and maintains allowances for potential credit losses on customers’ accounts when deemed necessary. The Company does not typically require collateral from its customers. Credit losses historically have not been material. The Company continuously monitors customer payments and maintains an allowance for credit losses based on its assessment of various factors including historical experience, age of the receivable balances, and other current economic conditions or other factors that may affect customers’ ability to pay.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Customer Concentration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the year ended </w:t>
      </w:r>
      <w:r>
        <w:rPr>
          <w:rFonts w:ascii="Times New Roman" w:cs="Times New Roman" w:eastAsia="Times New Roman" w:hAnsi="Times New Roman"/>
          <w:sz w:val="18"/>
          <w:szCs w:val="18"/>
          <w:color w:val="231F20"/>
        </w:rPr>
        <w:t>December 31, 2023, two customers represented</w:t>
      </w:r>
      <w:r>
        <w:rPr>
          <w:rFonts w:ascii="Times New Roman" w:cs="Times New Roman" w:eastAsia="Times New Roman" w:hAnsi="Times New Roman"/>
          <w:sz w:val="18"/>
          <w:szCs w:val="18"/>
          <w:color w:val="auto"/>
        </w:rPr>
        <w:t xml:space="preserve"> 51% and 48% of the Company's revenue. For the year ended December 31, 2022, two customers represented 47% and 52% of the Company’s revenue, respectively.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Additionally, two customers accounted for 44% and 56% of net accounts receivable as of </w:t>
      </w:r>
      <w:r>
        <w:rPr>
          <w:rFonts w:ascii="Times New Roman" w:cs="Times New Roman" w:eastAsia="Times New Roman" w:hAnsi="Times New Roman"/>
          <w:sz w:val="18"/>
          <w:szCs w:val="18"/>
          <w:color w:val="231F20"/>
        </w:rPr>
        <w:t>December 31, 2023. One customer accounted for 100% of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accounts receivable as of December 31, 2022</w:t>
      </w:r>
      <w:r>
        <w:rPr>
          <w:rFonts w:ascii="Times New Roman" w:cs="Times New Roman" w:eastAsia="Times New Roman" w:hAnsi="Times New Roman"/>
          <w:sz w:val="18"/>
          <w:szCs w:val="18"/>
          <w:color w:val="000000"/>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marketable securities purchased with original maturities of three months or less at the time of purchase date to be cash equivalents. Restricted cash consists of a letter of credit secured by restricted cash in connection with one of the Company's office leases described in Note 7, and is included in other assets on the consolidated balance sheets. The following table provides a reconciliation of cash, cash equivalents and restricted cash reported within the consolidated balance sheets (in thousands):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6"/>
                <w:szCs w:val="16"/>
                <w:color w:val="auto"/>
              </w:rPr>
            </w:pPr>
          </w:p>
        </w:tc>
      </w:tr>
      <w:tr>
        <w:trPr>
          <w:trHeight w:val="203"/>
        </w:trPr>
        <w:tc>
          <w:tcPr>
            <w:tcW w:w="8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62,888</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39,019</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62,952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Observable inputs, such as quoted prices in active markets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1300" w:right="20" w:hanging="647"/>
        <w:spacing w:after="0" w:line="282" w:lineRule="auto"/>
        <w:rPr>
          <w:sz w:val="20"/>
          <w:szCs w:val="20"/>
          <w:color w:val="auto"/>
        </w:rPr>
      </w:pPr>
      <w:r>
        <w:rPr>
          <w:rFonts w:ascii="Times New Roman" w:cs="Times New Roman" w:eastAsia="Times New Roman" w:hAnsi="Times New Roman"/>
          <w:sz w:val="18"/>
          <w:szCs w:val="18"/>
          <w:color w:val="auto"/>
        </w:rPr>
        <w:t>Level 3: Unobservable inputs in which there is little or no market data, which require the reporting entity to develop its own assumptions which reflect those that a market participant would use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the fair value of its financial instruments, the Company considers the source of observable market data inputs, liquidity of the instrument, the credit risk of the counterparty to the contract, and its risk of nonperformance. In the case fair value is not observable, for the items subject to fair value measurements, the Company applies valuation techniques deemed the most appropriate under the GAAP guidance based on the nature of the assets and liabilities being measured.</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of cash equivalents, accounts receivable, accounts payable, accrued liabilities, and due to licensor payable are reasonable estimates of their fair value because of the short maturity of these items.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Short-Term Investments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 xml:space="preserve">The Company invests in various types of securities, including United States government treasury bills, commercial paper, corporate debt securities, and government agency bonds. The Company classifies its investments as available-for-sale and records them at fair value based upon market prices at period end. Unrealized gains and losses that are deemed temporary in nature are recorded in accumulated other comprehensive income (loss) as a separate component of stockholders’ equity. Dividend and interest income are recognized when earned. The Company recognizes purchase premiums and discounts as interest income using the interest method over the terms of the securities. Realized gains and losses are included in earnings and are derived using the specific identification method for determining the cost of investments sold. </w:t>
      </w:r>
      <w:r>
        <w:rPr>
          <w:rFonts w:ascii="Times New Roman" w:cs="Times New Roman" w:eastAsia="Times New Roman" w:hAnsi="Times New Roman"/>
          <w:sz w:val="18"/>
          <w:szCs w:val="18"/>
          <w:color w:val="000000"/>
        </w:rPr>
        <w:t>The Company classifies short-term investments wi</w:t>
      </w:r>
      <w:r>
        <w:rPr>
          <w:rFonts w:ascii="Times New Roman" w:cs="Times New Roman" w:eastAsia="Times New Roman" w:hAnsi="Times New Roman"/>
          <w:sz w:val="18"/>
          <w:szCs w:val="18"/>
          <w:color w:val="231F20"/>
        </w:rPr>
        <w:t>th remaining maturities greater than one year as current assets because such short-term investments are available to fund the Company’s current operations.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At each balance sheet date, the Company assesses available-for-sale securities in an unrealized loss position to determine whether the decline in fair value below amortized cost is a result of credit losses or other factors, whether the Company expects to recover the amortized cost of the security, the Company's intent to sell and if it is more likely than not that the Company will be required to sell the securities before the recovery of amortized cost. The Company records changes in allowance for expected credit loss in other income (expense). There has been no allowance for expected credit losses recorded during any of the periods presented. See Note 4 for further informatio</w:t>
      </w:r>
      <w:r>
        <w:rPr>
          <w:rFonts w:ascii="Times New Roman" w:cs="Times New Roman" w:eastAsia="Times New Roman" w:hAnsi="Times New Roman"/>
          <w:sz w:val="18"/>
          <w:szCs w:val="18"/>
          <w:color w:val="000000"/>
        </w:rPr>
        <w:t>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are recorded net of customer allowances for chargebacks and allowance for credit losses. Allowance for chargebacks is based on contractual terms. The Company estimates the allowance for credit losses based on existing contractual payment terms, actual payment patterns of its individual customer circumstances and credit loss. Receivables are recorded to an allowance for credit loss when it is probable that amounts will not be collected based on terms of the customer contracts. Accounts receivable are net of $0.2 million and $0.1 million of customer allowances for chargebacks as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December 31, 2023 and December 31, 2022, respectively. There were no allowances for credit losses and no receivables were written off for the years ended December 31, 2023 and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Inventory is stated at the lower of cost or estimated net realizable value. The Company uses actual costing methodology determined on a first-in, first-out method. The Company capitalizes inventory costs associated with its products based upon regulatory approval when, based on management’s judgment, future commercialization is considered probable and the future economic benefit is expected to be realized; otherwise, such costs are expensed.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inventory are presented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81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Property and equipment, consisting of computers and software, construction in process, furniture and fixtures, lab equipment, and leasehold improvements are stated at cost, less accumulated depreciation. Property and equipment is depreciated using the straight-line method over the estimated useful lives of the assets, generally three to five years. Such costs are periodically reviewed for recoverability when impairment indicators are present.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property and equipment are presented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6"/>
                <w:szCs w:val="16"/>
                <w:color w:val="auto"/>
              </w:rPr>
            </w:pPr>
          </w:p>
        </w:tc>
      </w:tr>
      <w:tr>
        <w:trPr>
          <w:trHeight w:val="203"/>
        </w:trPr>
        <w:tc>
          <w:tcPr>
            <w:tcW w:w="8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software</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4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7"/>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Construction in progress mainly consists of lab, production, and testing equipment. Depreciation expense on property, plant, and equipment amounted to $0.2 million and $0.1 million for the years ended December 31, 2023 and 2022,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long-lived assets, including property, equipment, and the intangible asset for impairment whenever events or changes in circumstances indicate that the carrying amount of the assets may not be recoverable. An impairment loss would be recognized when estimated undiscounted future cash flows expected to result from the use of the asset and its eventual disposition are less than the carrying amount. The impairment loss, if recognized, would be based on the excess of the carrying value of the impaired asset over its respective fair value. An impairment was recorded for the long-lived intangible asset during the year ended December 31, 2022 based on the termination of the Gossamer License Agreement effective July 24, 2022 (see Note 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credit-adjusted secured borrowing rate commensurate with the term of the lease. The Company does not recognize assets or liabilities for leases with lease terms of less than 12 months.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additionally evaluates leases at their inception to determine if they are to be accounted for as an operating lease or a finance lease. A lease is accounted for as a finance lease if it meets one of the following five criteria: (i) the lease has a purchase option that is reasonably certain of being exercised,</w:t>
      </w:r>
    </w:p>
    <w:p>
      <w:pPr>
        <w:jc w:val="both"/>
        <w:ind w:firstLine="8"/>
        <w:spacing w:after="0" w:line="252" w:lineRule="auto"/>
        <w:tabs>
          <w:tab w:leader="none" w:pos="28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of the future cash flows is substantially all of the fair market value of the underlying asset, (iii) the lease term is for a significant portion of the remaining economic life of the underlying asset, (iv) the title to the underlying asset transfers at the end of the lease term, or (v)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at the commencement date of the lease based on the present value of lease payments over the expected lease term.</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For finance leases, depreciation expense is recognized for the leased asset acquired and interest expense is recognized related to the portion of the financing in the consolidated statements of operations and comprehensive loss. For operating leases, lease cost is recognized on a straight-line basis over the lease term and variable lease payments are recognized as operating expense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Commitments and Contingencies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December 31, 2023 and 2022</w:t>
      </w:r>
      <w:r>
        <w:rPr>
          <w:rFonts w:ascii="Times New Roman" w:cs="Times New Roman" w:eastAsia="Times New Roman" w:hAnsi="Times New Roman"/>
          <w:sz w:val="18"/>
          <w:szCs w:val="18"/>
          <w:color w:val="231F20"/>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Related Allowances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recognizes revenue when its customer obtains control of promised goods or services, in an amount that reflects the consideration which the entity expects to receive in exchange for those goods or services. To determine revenue recognition for arrangements that the Company determines are within the scope of ASC Topic 606, Revenue from Contracts with Customers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Net Sales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FYARRO was approved by the FDA in November 2021. On February 22, 2022, the Company launched sales of FYARRO to specialty distributors (“SDs”) and a specialty pharmacy (“SP”). The Company recognizes product sales when the SDs and SP obtain control of the product. Product sales are recorded at the net sales price, which includes provisions for the following allowances which are reflected either as a reduction to the related account receivable or as an accrued liability, depending on how the allowance is settled:</w:t>
      </w:r>
    </w:p>
    <w:p>
      <w:pPr>
        <w:spacing w:after="0" w:line="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Distribution Fees</w:t>
      </w:r>
      <w:r>
        <w:rPr>
          <w:rFonts w:ascii="Times New Roman" w:cs="Times New Roman" w:eastAsia="Times New Roman" w:hAnsi="Times New Roman"/>
          <w:sz w:val="18"/>
          <w:szCs w:val="18"/>
          <w:color w:val="auto"/>
        </w:rPr>
        <w:t>: Distribution fees include distribution service fees paid to the SDs and SP based on a contractually fixed percentage of the wholesale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cost (“WAC”). Distribution fees are recorded as an offset to product sales based on contractual terms at the time revenue from the sale is recognized.</w:t>
      </w:r>
    </w:p>
    <w:p>
      <w:pPr>
        <w:spacing w:after="0" w:line="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Rebates</w:t>
      </w:r>
      <w:r>
        <w:rPr>
          <w:rFonts w:ascii="Times New Roman" w:cs="Times New Roman" w:eastAsia="Times New Roman" w:hAnsi="Times New Roman"/>
          <w:sz w:val="18"/>
          <w:szCs w:val="18"/>
          <w:color w:val="auto"/>
        </w:rPr>
        <w:t>: Allowance for rebates includes mandated discounts under the Medicaid Drug Rebate Program and TRICARE program. Rebates are amounts owed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final dispensing of the product to a benefit plan participant and are based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contractual agreements or statutory requirements. The allowance for rebates is based on contracted or statutory discount rates and expected utilization by benefit plan participants. The Company’s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the Company may need to adjust prior period accruals, which would affect product sales in the period of adjustment.</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Chargebacks are discounts and fees that relate to contracts with government and other entities purchasing from the SDs and SP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discounted price. The SDs and SP charge back to the Company the difference between the price initially paid by the SDs and SP and the discounted price paid to the SDs and SP by these entities. If actual future chargebacks vary from these estimates, the Company may need to adjust prior period accruals, which would affect product sales in the period of adjustment.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Co-Payment Assistance: </w:t>
      </w:r>
      <w:r>
        <w:rPr>
          <w:rFonts w:ascii="Times New Roman" w:cs="Times New Roman" w:eastAsia="Times New Roman" w:hAnsi="Times New Roman"/>
          <w:sz w:val="18"/>
          <w:szCs w:val="18"/>
          <w:color w:val="auto"/>
        </w:rPr>
        <w:t>The Company offers co-payment assistance to commercially insured patients meeting certain eligibility requirements. Co-payment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is accrued at the time of product sale to SDs and SP based on estimated patient participation and average co-pay benefit to be paid per claim. The Company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Consistent with industry practice, the Company offers the SDs and SP limited product return rights for damages, shipment errors,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expiring product, provided that the return is within a specified period around the product expiration date as set forth in the applicable individual distribution agreement. The Company does not allow product returns for product that has been dispensed to a patient. As the Company receives inventory reports from the SDs and SP and has the ability to control the amount of product that is sold to the SDs and SP the Company’s estimate of future potential product returns is based on the on-hand channel inventory data and sell-through data obtained from the SDs and SP. In arriving at its estimate, the Company also considers historical product returns, the underlying product demand, and industry data specific to the specialty pharmaceutical distribution industry.</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amount deducted from gross product sales for the allowances described above for the years ended December 31, 2023 and 2022 was $4.6 million and $2.4 million,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changes in the accrued revenue allowances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6"/>
                <w:szCs w:val="16"/>
                <w:color w:val="auto"/>
              </w:rPr>
            </w:pPr>
          </w:p>
        </w:tc>
      </w:tr>
      <w:tr>
        <w:trPr>
          <w:trHeight w:val="203"/>
        </w:trPr>
        <w:tc>
          <w:tcPr>
            <w:tcW w:w="8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1,434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current period sales</w:t>
            </w:r>
          </w:p>
        </w:tc>
        <w:tc>
          <w:tcPr>
            <w:tcW w:w="9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(5,017)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1,065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in performing research and development activities, including salaries and benefits, materials and supplies, preclinical expenses, share-based compensation expense, contract services, and other external development expenses. The Company records research and development activities conducted by third-party service providers, which include work related to preclinical studies, clinical trials, and contract manufacturing activities, to research and development expense as incurred. The Company is required to estimate the amount of services provided but not yet invoiced and include these expenses in accrued expenses on the consolidated balance sheets and within research and development expenses in the consolidated statements of operations and comprehensive loss. These expenses are a significant component of the Company’s research and development expenses and require significant estimates and judgments. The Company accrues for these expenses based on factors such as estimates of the work completed and in accordance with agreements established with its third-party service providers. As actual expenses become known, the Company adjusts its accrued expenses.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all share-based payments to employees, including grants of employee stock options and restricted stock units in the consolidated statements of operations and comprehensive loss based on their fair values. All of the Company’s share-based awards, to employees, non-employees, officers, and directors, are subject only to service-based vesting conditions. Compensation expense for awards to employees is calculated on a straight-line basis by recognizing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fair value over the associated service period of the award, which is generally the vesting term. </w:t>
      </w:r>
      <w:r>
        <w:rPr>
          <w:rFonts w:ascii="Times New Roman" w:cs="Times New Roman" w:eastAsia="Times New Roman" w:hAnsi="Times New Roman"/>
          <w:sz w:val="18"/>
          <w:szCs w:val="18"/>
          <w:color w:val="231F20"/>
        </w:rPr>
        <w:t>Options granted during the year have a maximum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term of ten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employee stock purchases under the Company’s 2021 Employee Stock Purchase Plan (the “2021 ESPP”) is recorded at the estimated fair value of the purchase as of the plan enrollment date and is recognized as an expense on a straight-line basis over the applicable six-month 2021 ESPP offering period.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income in the period that includes the enactment date. A valuation allowance against deferred tax assets is recorded if, based upon the weight of all available evidence, it is more likely than not that some or all of the deferred tax assets will not be realized.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The Company recognizes interest and penalties related to uncertain tax positions, if any exist, in income tax expense.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weighted-average number of common shares outstanding for the period. Basic and diluted weighted average shares of common stock outstanding for the years ended December 31, 2023 and 2022, includes the weighted average effect of 2,426,493 Pre-Funded Warrants (as defined below), which were issued in September 2022, for the purchase of shares of common stock, for which the remaining unfunded exercise price is $0.0001 per share.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Diluted net loss per share is computed by dividing the net loss attributable to common stockholders by the weighted average number of common shares and common share equivalents outstanding for the period. Common stock equivalents are only included when their effect is dilutive. The Company’s potentially dilutive securities, which include outstanding stock options, restricted stock units, and warrants have been excluded from the computation of diluted net loss per share as they would be anti-dilutive.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outstanding potentially dilutive securities that have been excluded in the calculation of diluted net loss per share because their inclusion would be anti-dilutive: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3"/>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03"/>
        </w:trPr>
        <w:tc>
          <w:tcPr>
            <w:tcW w:w="8180" w:type="dxa"/>
            <w:vAlign w:val="bottom"/>
          </w:tcPr>
          <w:p>
            <w:pPr>
              <w:spacing w:after="0"/>
              <w:rPr>
                <w:sz w:val="17"/>
                <w:szCs w:val="17"/>
                <w:color w:val="auto"/>
              </w:rPr>
            </w:pPr>
          </w:p>
        </w:tc>
        <w:tc>
          <w:tcPr>
            <w:tcW w:w="14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4,579,659</w:t>
            </w: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2,990,423</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to purchase common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29,167</w:t>
            </w: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29,167</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2016, the FASB issued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which (i) significantly changes the impairment model for most financial assets that are measured at amortized cost and certain other instruments from an incurred loss model to an expected loss model which will be based on an estimate of current expected credit loss; and (ii) provides for recording credit losses on available-for-sale debt securities through an allowance account. The standard also requires certain incremental disclosures. Subsequently, the FASB issued several ASUs to clarify, improve, or defer the adoption of ASU 2016-13. The Company adopted ASU 2016-13 beginning January 2023. The Company determined that the adoption of this standard did not result in a material impact to the consolidated financial statements.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2020, the FASB issued ASU 2020-06, “</w:t>
      </w:r>
      <w:r>
        <w:rPr>
          <w:rFonts w:ascii="Times New Roman" w:cs="Times New Roman" w:eastAsia="Times New Roman" w:hAnsi="Times New Roman"/>
          <w:sz w:val="18"/>
          <w:szCs w:val="18"/>
          <w:i w:val="1"/>
          <w:iCs w:val="1"/>
          <w:color w:val="auto"/>
        </w:rPr>
        <w:t>Debt – Debt with Conversion and Other Options”</w:t>
      </w:r>
      <w:r>
        <w:rPr>
          <w:rFonts w:ascii="Times New Roman" w:cs="Times New Roman" w:eastAsia="Times New Roman" w:hAnsi="Times New Roman"/>
          <w:sz w:val="18"/>
          <w:szCs w:val="18"/>
          <w:color w:val="auto"/>
        </w:rPr>
        <w:t xml:space="preserve"> (Subtopic 470-20) and “Derivatives and Hedging – Contracts in Entity’s Own Equity” (Subtopic 815-40). This new guidance is intended to reduce the complexity of accounting for convertible instruments. The guidance also addresses how convertible instruments are accounted for in the diluted earnings per share calculation and requires enhanced disclosures about the terms of convertible instruments. Entities may adopt ASU 2020-06 using either a partial retrospective or fully retrospective method of</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transition. This ASU is effective for fiscal years beginning after December 15, 2023, including interim periods within those fiscal years for smaller reporting companies. The Company is currently evaluating the impact the adoption of ASU 2020-06 will have on the Company’s consolidated financial statements.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2023-07, Segment Reporting (Topic 280) - Improvements to Reportable Segment Disclosures. The new standard requires a company to disclose incremental segment information on an annual and interim basis, including significant segment expenses and measures of profit or loss that are regularly provided to the chief operating decision maker. The standard is effective for us beginning in fiscal year 2024 and interim periods within fiscal year 2025, with early adoption permitted. We do not expect to early adopt the new standard. We are currently evaluating the impact of ASU 2023-07 on the consolidated financial statements and related disclosures and will adopt the new standard using a retrospective approach.</w:t>
      </w:r>
    </w:p>
    <w:p>
      <w:pPr>
        <w:spacing w:after="0" w:line="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December 2023, the FASB also issued ASU 2023-09, Income Taxes (Topic 740) - Improvements to Income Tax Disclosures. The new standard requires a company to expand its existing income tax disclosures, specifically related to the rate reconciliation and income taxes paid. The standard is effective for us beginning in fiscal year 2025, with early adoption permitted. We do not expect to early adopt the new standard. The new standard is expected to be applied prospectively, but retrospective application is permitted. We are currently evaluating the impact of ASU 2023-09 on the consolidated financial statements and related disclosures.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recurring fair value of the Company’s financial assets and liabilities, allocated into the Level 1, Level 2 and Level 3 hierarchy that were measured at fair value on a recurring basis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2023</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Money market funds (1)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61,034</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61,034</w:t>
            </w:r>
          </w:p>
        </w:tc>
      </w:tr>
      <w:tr>
        <w:trPr>
          <w:trHeight w:val="230"/>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treasury bills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19,458</w:t>
            </w:r>
          </w:p>
        </w:tc>
      </w:tr>
      <w:tr>
        <w:trPr>
          <w:trHeight w:val="229"/>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8,717</w:t>
            </w:r>
          </w:p>
        </w:tc>
      </w:tr>
      <w:tr>
        <w:trPr>
          <w:trHeight w:val="230"/>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 (2)</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13,447</w:t>
            </w:r>
          </w:p>
        </w:tc>
      </w:tr>
      <w:tr>
        <w:trPr>
          <w:trHeight w:val="23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Government agency</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w:t>
            </w:r>
          </w:p>
        </w:tc>
      </w:tr>
      <w:tr>
        <w:trPr>
          <w:trHeight w:val="248"/>
        </w:trPr>
        <w:tc>
          <w:tcPr>
            <w:tcW w:w="50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108,138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720"/>
        </w:trPr>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2022</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
        </w:trPr>
        <w:tc>
          <w:tcPr>
            <w:tcW w:w="5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Money market funds (1)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32,035</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32,035</w:t>
            </w:r>
          </w:p>
        </w:tc>
      </w:tr>
      <w:tr>
        <w:trPr>
          <w:trHeight w:val="230"/>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treasury bills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70,708</w:t>
            </w:r>
          </w:p>
        </w:tc>
      </w:tr>
      <w:tr>
        <w:trPr>
          <w:trHeight w:val="229"/>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53,296</w:t>
            </w:r>
          </w:p>
        </w:tc>
      </w:tr>
      <w:tr>
        <w:trPr>
          <w:trHeight w:val="230"/>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r>
      <w:tr>
        <w:trPr>
          <w:trHeight w:val="23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Government agency</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5,287</w:t>
            </w:r>
          </w:p>
        </w:tc>
      </w:tr>
      <w:tr>
        <w:trPr>
          <w:trHeight w:val="248"/>
        </w:trPr>
        <w:tc>
          <w:tcPr>
            <w:tcW w:w="50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financial assets</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165,576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cash and cash equivalents in the accompanying consolidated balance sheets.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 million of corporate bonds in cash and cash equivalent in the accompanying consolidated balance sheet.</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Net </w:t>
      </w:r>
      <w:r>
        <w:rPr>
          <w:rFonts w:ascii="Times New Roman" w:cs="Times New Roman" w:eastAsia="Times New Roman" w:hAnsi="Times New Roman"/>
          <w:sz w:val="18"/>
          <w:szCs w:val="18"/>
          <w:color w:val="231F20"/>
        </w:rPr>
        <w:t>unrealized gain on investments was $27,000 as of December 31, 2023. As of December 31, 2022, net unrealized losses were $0.1 million. As of</w:t>
      </w:r>
      <w:r>
        <w:rPr>
          <w:rFonts w:ascii="Times New Roman" w:cs="Times New Roman" w:eastAsia="Times New Roman" w:hAnsi="Times New Roman"/>
          <w:sz w:val="18"/>
          <w:szCs w:val="18"/>
          <w:color w:val="auto"/>
        </w:rPr>
        <w:t xml:space="preserve"> December 31, 2023 and 2022, </w:t>
      </w:r>
      <w:r>
        <w:rPr>
          <w:rFonts w:ascii="Times New Roman" w:cs="Times New Roman" w:eastAsia="Times New Roman" w:hAnsi="Times New Roman"/>
          <w:sz w:val="18"/>
          <w:szCs w:val="18"/>
          <w:color w:val="231F20"/>
        </w:rPr>
        <w:t>all marketable securities had a contractual maturity of less than one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Short-Term Investments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short-term investments (in thousands):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6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and for Year Ended December 31, 2023</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3500" w:type="dxa"/>
            <w:vAlign w:val="bottom"/>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Maturity (In</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3500" w:type="dxa"/>
            <w:vAlign w:val="bottom"/>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Years)</w:t>
            </w: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35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61,034</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treasury bills</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Less than 1</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19,458</w:t>
            </w:r>
          </w:p>
        </w:tc>
      </w:tr>
      <w:tr>
        <w:trPr>
          <w:trHeight w:val="22"/>
        </w:trPr>
        <w:tc>
          <w:tcPr>
            <w:tcW w:w="3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3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Less than 1</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8,717</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Less than 1</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13,447</w:t>
            </w:r>
          </w:p>
        </w:tc>
      </w:tr>
      <w:tr>
        <w:trPr>
          <w:trHeight w:val="22"/>
        </w:trPr>
        <w:tc>
          <w:tcPr>
            <w:tcW w:w="3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7"/>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agency</w:t>
            </w:r>
          </w:p>
        </w:tc>
        <w:tc>
          <w:tcPr>
            <w:tcW w:w="13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Less than 1</w:t>
            </w: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w:t>
            </w:r>
          </w:p>
        </w:tc>
      </w:tr>
      <w:tr>
        <w:trPr>
          <w:trHeight w:val="22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108,111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108,138</w:t>
            </w:r>
          </w:p>
        </w:tc>
      </w:tr>
      <w:tr>
        <w:trPr>
          <w:trHeight w:val="22"/>
        </w:trPr>
        <w:tc>
          <w:tcPr>
            <w:tcW w:w="3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53"/>
        </w:trPr>
        <w:tc>
          <w:tcPr>
            <w:tcW w:w="3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and for Year Ended December 31, 2022</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8"/>
        </w:trPr>
        <w:tc>
          <w:tcPr>
            <w:tcW w:w="3500" w:type="dxa"/>
            <w:vAlign w:val="bottom"/>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Maturity (In</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3500" w:type="dxa"/>
            <w:vAlign w:val="bottom"/>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Years)</w:t>
            </w: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3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32,035</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treasury bills</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Less than 1</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70,708</w:t>
            </w:r>
          </w:p>
        </w:tc>
      </w:tr>
      <w:tr>
        <w:trPr>
          <w:trHeight w:val="22"/>
        </w:trPr>
        <w:tc>
          <w:tcPr>
            <w:tcW w:w="3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3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Less than 1</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53,296</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Less than 1</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w:t>
            </w:r>
          </w:p>
        </w:tc>
      </w:tr>
      <w:tr>
        <w:trPr>
          <w:trHeight w:val="22"/>
        </w:trPr>
        <w:tc>
          <w:tcPr>
            <w:tcW w:w="3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7"/>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agency</w:t>
            </w:r>
          </w:p>
        </w:tc>
        <w:tc>
          <w:tcPr>
            <w:tcW w:w="13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Less than 1</w:t>
            </w: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w:t>
            </w:r>
          </w:p>
        </w:tc>
      </w:tr>
      <w:tr>
        <w:trPr>
          <w:trHeight w:val="22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165,691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165,576</w:t>
            </w:r>
          </w:p>
        </w:tc>
      </w:tr>
      <w:tr>
        <w:trPr>
          <w:trHeight w:val="22"/>
        </w:trPr>
        <w:tc>
          <w:tcPr>
            <w:tcW w:w="3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5. Intangible Asset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26, 2021, the Company closed its reverse merger pursuant to which the Company’s wholly-owned subsidiary merged with and into Aadi Subsidiary, Inc. (formerly Aadi Bioscience, Inc.) (“Private Aadi”), with Private Aadi surviving as a wholly owned subsidiary of the Company (the</w:t>
      </w:r>
    </w:p>
    <w:p>
      <w:pPr>
        <w:jc w:val="both"/>
        <w:spacing w:after="0" w:line="236" w:lineRule="auto"/>
        <w:rPr>
          <w:sz w:val="20"/>
          <w:szCs w:val="20"/>
          <w:color w:val="auto"/>
        </w:rPr>
      </w:pPr>
      <w:r>
        <w:rPr>
          <w:rFonts w:ascii="Times New Roman" w:cs="Times New Roman" w:eastAsia="Times New Roman" w:hAnsi="Times New Roman"/>
          <w:sz w:val="18"/>
          <w:szCs w:val="18"/>
          <w:color w:val="auto"/>
        </w:rPr>
        <w:t>“Merger”). The Company recorded a long-lived contract intangible asset as a result of the Merger, related to the license agreement, dated June 24, 2018, with Gossamer Bio, Inc. ("Gossamer"), as amended (the "Gossamer License Agreement"), which was assumed in the Merger. In accordance with GAAP, for asset acquisitions, the excess purchase price over the fair value of the acquired assets and liabilities was ascribed to the acquired contract intangible asset. Due to the significant excess purchase price being allocated over the fair value of the acquired contract intangible asset, the Company determined that an indicator of impairment was present. The contract intangible asset was assessed for recoverability using an undiscounted cash flow model, which resulted in undiscounted cash flows below the carrying amount. At the effective time of the merger, the Company recognized an impairment of $74.2 million to bring the carrying amount of the contract intangible asset down to its estimated fair value of $3.9 million. The fair value estimate of the intangible asset related to contingent cash flows expected from the out-licensing arrangement, of which 90% of any future net cash proceeds will be remitted to each holder of common stock of the Company's predecessor, Aerpio, as of immediately prior to the closing of the merger and paid through the contingent value rights ("CVRs") pursuant to a Contingent Value Rights Agreement, dated as of August 26, 2021 (the "CVR Agreement"). The useful life of the intangible asset was estimated to be approximately 14.3 years.</w:t>
      </w:r>
    </w:p>
    <w:p>
      <w:pPr>
        <w:spacing w:after="0" w:line="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25, 2022, the Company received a formal notice of termination from Gossamer for the Gossamer License Agreement, relating to Gossamer’s GB004 product candidate, a legacy product candidate of Aerpio, after Gossamer announced that its Phase 2 SHIFT-UC clinical trial studying GB004 in patients with mild-to-moderate active ulcerative colitis did not meet the primary or secondary endpoints at week 12 and the study was being terminated for lack of treatment benefit. The Gossamer License Agreement terminated effective July 24, 2022. Based on the termination of the Gossamer License Agreement, the Company fully impaired the intangible asset, $3.7 million, of which the Gossamer License Agreement is the underlying asset, during the year ended December 31, 2022.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amortization expense for the year ended December 31, 2023. Amortization expense was $87,000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shows the amortization expense and impairment of the finite-lived intangible asset for the </w:t>
      </w:r>
      <w:r>
        <w:rPr>
          <w:rFonts w:ascii="Times New Roman" w:cs="Times New Roman" w:eastAsia="Times New Roman" w:hAnsi="Times New Roman"/>
          <w:sz w:val="18"/>
          <w:szCs w:val="18"/>
          <w:color w:val="231F20"/>
        </w:rPr>
        <w:t>year</w:t>
      </w:r>
      <w:r>
        <w:rPr>
          <w:rFonts w:ascii="Times New Roman" w:cs="Times New Roman" w:eastAsia="Times New Roman" w:hAnsi="Times New Roman"/>
          <w:sz w:val="18"/>
          <w:szCs w:val="18"/>
          <w:color w:val="auto"/>
        </w:rPr>
        <w:t xml:space="preserve"> ended December 31, 2022, (in thousands):</w:t>
      </w:r>
    </w:p>
    <w:p>
      <w:pPr>
        <w:sectPr>
          <w:pgSz w:w="11900" w:h="16838" w:orient="portrait"/>
          <w:cols w:equalWidth="0" w:num="1">
            <w:col w:w="11240"/>
          </w:cols>
          <w:pgMar w:left="320" w:top="121" w:right="339" w:bottom="1440" w:gutter="0" w:footer="0" w:header="0"/>
        </w:sect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asset,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Impairment of contract intangible</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asset, net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Details of accrued liabilities are presented as follows (in thousands):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75" w:lineRule="exact"/>
        <w:rPr>
          <w:sz w:val="20"/>
          <w:szCs w:val="20"/>
          <w:color w:val="auto"/>
        </w:rPr>
      </w:pPr>
    </w:p>
    <w:p>
      <w:pPr>
        <w:ind w:left="2000" w:hanging="1318"/>
        <w:spacing w:after="0"/>
        <w:tabs>
          <w:tab w:leader="none" w:pos="2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3,811</w:t>
      </w:r>
    </w:p>
    <w:p>
      <w:pPr>
        <w:spacing w:after="0" w:line="49" w:lineRule="exact"/>
        <w:rPr>
          <w:rFonts w:ascii="Times New Roman" w:cs="Times New Roman" w:eastAsia="Times New Roman" w:hAnsi="Times New Roman"/>
          <w:sz w:val="18"/>
          <w:szCs w:val="18"/>
          <w:color w:val="auto"/>
        </w:rPr>
      </w:pPr>
    </w:p>
    <w:p>
      <w:pPr>
        <w:ind w:left="2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w:t>
      </w:r>
    </w:p>
    <w:p>
      <w:pPr>
        <w:spacing w:after="0" w:line="5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(3,724)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26035</wp:posOffset>
            </wp:positionV>
            <wp:extent cx="11398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43" w:lineRule="exact"/>
        <w:rPr>
          <w:sz w:val="20"/>
          <w:szCs w:val="20"/>
          <w:color w:val="auto"/>
        </w:rPr>
      </w:pPr>
    </w:p>
    <w:p>
      <w:pPr>
        <w:ind w:left="680"/>
        <w:spacing w:after="0"/>
        <w:tabs>
          <w:tab w:leader="none" w:pos="21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26035</wp:posOffset>
            </wp:positionV>
            <wp:extent cx="11398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51435</wp:posOffset>
            </wp:positionV>
            <wp:extent cx="11398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42"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33" w:lineRule="exact"/>
        <w:rPr>
          <w:sz w:val="20"/>
          <w:szCs w:val="20"/>
          <w:color w:val="auto"/>
        </w:rPr>
      </w:pPr>
    </w:p>
    <w:p>
      <w:pPr>
        <w:sectPr>
          <w:pgSz w:w="11900" w:h="16838" w:orient="portrait"/>
          <w:cols w:equalWidth="0" w:num="2">
            <w:col w:w="8060" w:space="720"/>
            <w:col w:w="24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81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salaries and payroll</w:t>
            </w: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Borders>
              <w:top w:val="single" w:sz="8" w:color="CFF0FC"/>
            </w:tcBorders>
            <w:shd w:val="clear" w:color="auto" w:fill="CFF0FC"/>
          </w:tcPr>
          <w:p>
            <w:pPr>
              <w:spacing w:after="0"/>
              <w:rPr>
                <w:sz w:val="21"/>
                <w:szCs w:val="21"/>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w:t>
            </w:r>
          </w:p>
        </w:tc>
      </w:tr>
      <w:tr>
        <w:trPr>
          <w:trHeight w:val="230"/>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Advanced customer payments</w:t>
            </w:r>
          </w:p>
        </w:tc>
        <w:tc>
          <w:tcPr>
            <w:tcW w:w="5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r>
      <w:tr>
        <w:trPr>
          <w:trHeight w:val="22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contract manufacturing</w:t>
            </w: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clinical</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r>
      <w:tr>
        <w:trPr>
          <w:trHeight w:val="22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other - sales related</w:t>
            </w: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30"/>
        </w:trPr>
        <w:tc>
          <w:tcPr>
            <w:tcW w:w="81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48"/>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14,306</w:t>
            </w: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14,922</w:t>
            </w: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Operating Leases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In April 2019, the Company entered into a twenty-eight month facility lease agreement for office space in Pacific Palisades, California (the “Pacific Palisades Lease”). The Pacific Palisades Lease commenced on May 1, 2019, included four months of rent abatement and a rent escalation clause and was set to expire on August 31, 2021. In August 2021, the Company exercised its option to extend the term of the Pacific Palisades Lease for an additional three-year period and entered into an amendment to the lease agreement (the “Pacific Palisades Lease Amendment”). Pursuant to the Pacific Palisades Lease Amendment, the Company and the landlord agreed to extend the term for an additional period of three (3) years and six (6) months, until February 28, 2025, with an option to renew for an additional three (3) years in accordance with the terms of the Pacific Palisades Lease. Included in the Pacific Palisades Lease Amendment were nine months of rent abatement and a rent escalation clause.</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In April 2022, the Company entered into a lease agreement for office space in Morristown, New Jersey (the “Morristown Lease”). The Morristown Lease has a term of seventy-three months, unless terminated sooner, and includes rent abatement for the first three months and the forty-seventh and forty-eighth calendar months after lease commencement. Included in the Morristown Lease are fixed rent escalations of approximately 2% on each anniversary year of the lease term.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related to the Company’s leases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42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84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84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9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9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jc w:val="right"/>
              <w:ind w:right="2335"/>
              <w:spacing w:after="0"/>
              <w:rPr>
                <w:sz w:val="20"/>
                <w:szCs w:val="20"/>
                <w:color w:val="auto"/>
              </w:rPr>
            </w:pPr>
            <w:r>
              <w:rPr>
                <w:rFonts w:ascii="Times New Roman" w:cs="Times New Roman" w:eastAsia="Times New Roman" w:hAnsi="Times New Roman"/>
                <w:sz w:val="18"/>
                <w:szCs w:val="18"/>
                <w:color w:val="auto"/>
              </w:rPr>
              <w:t>131</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24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240" w:type="dxa"/>
            <w:vAlign w:val="bottom"/>
            <w:tcBorders>
              <w:bottom w:val="single" w:sz="8" w:color="9A9A9A"/>
            </w:tcBorders>
          </w:tcPr>
          <w:p>
            <w:pPr>
              <w:spacing w:after="0"/>
              <w:rPr>
                <w:sz w:val="8"/>
                <w:szCs w:val="8"/>
                <w:color w:val="auto"/>
              </w:rPr>
            </w:pPr>
          </w:p>
        </w:tc>
        <w:tc>
          <w:tcPr>
            <w:tcW w:w="39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Rent expense for the years ended December 31, 2023 and 2022 is presented on the following table (in thousands):</w:t>
      </w:r>
    </w:p>
    <w:p>
      <w:pPr>
        <w:spacing w:after="0" w:line="15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42" w:lineRule="exact"/>
        <w:rPr>
          <w:sz w:val="20"/>
          <w:szCs w:val="20"/>
          <w:color w:val="auto"/>
        </w:rPr>
      </w:pPr>
    </w:p>
    <w:p>
      <w:pPr>
        <w:ind w:left="878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180" w:val="left"/>
          <w:tab w:leader="none" w:pos="9300" w:val="left"/>
          <w:tab w:leader="none" w:pos="9760" w:val="left"/>
          <w:tab w:leader="none" w:pos="10880" w:val="left"/>
        </w:tabs>
        <w:rPr>
          <w:sz w:val="20"/>
          <w:szCs w:val="20"/>
          <w:color w:val="auto"/>
        </w:rPr>
      </w:pPr>
      <w:r>
        <w:rPr>
          <w:rFonts w:ascii="Times New Roman" w:cs="Times New Roman" w:eastAsia="Times New Roman" w:hAnsi="Times New Roman"/>
          <w:sz w:val="18"/>
          <w:szCs w:val="18"/>
          <w:color w:val="auto"/>
        </w:rPr>
        <w:t>Operating lease rent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461</w:t>
        <w:tab/>
        <w:t>$</w:t>
      </w:r>
      <w:r>
        <w:rPr>
          <w:sz w:val="20"/>
          <w:szCs w:val="20"/>
          <w:color w:val="auto"/>
        </w:rPr>
        <w:tab/>
      </w:r>
      <w:r>
        <w:rPr>
          <w:rFonts w:ascii="Times New Roman" w:cs="Times New Roman" w:eastAsia="Times New Roman" w:hAnsi="Times New Roman"/>
          <w:sz w:val="17"/>
          <w:szCs w:val="17"/>
          <w:color w:val="auto"/>
        </w:rPr>
        <w:t>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43180</wp:posOffset>
            </wp:positionV>
            <wp:extent cx="19456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4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Cash paid for leases and included in operating cash flows for the years ended December 31, 2023 and 2022 is presented on the following table (in thousands):</w:t>
      </w:r>
    </w:p>
    <w:p>
      <w:pPr>
        <w:spacing w:after="0" w:line="8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42" w:lineRule="exact"/>
        <w:rPr>
          <w:sz w:val="20"/>
          <w:szCs w:val="20"/>
          <w:color w:val="auto"/>
        </w:rPr>
      </w:pPr>
    </w:p>
    <w:p>
      <w:pPr>
        <w:ind w:left="878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180" w:val="left"/>
          <w:tab w:leader="none" w:pos="9300" w:val="left"/>
          <w:tab w:leader="none" w:pos="9760" w:val="left"/>
          <w:tab w:leader="none" w:pos="10880" w:val="left"/>
        </w:tabs>
        <w:rPr>
          <w:sz w:val="20"/>
          <w:szCs w:val="20"/>
          <w:color w:val="auto"/>
        </w:rPr>
      </w:pPr>
      <w:r>
        <w:rPr>
          <w:rFonts w:ascii="Times New Roman" w:cs="Times New Roman" w:eastAsia="Times New Roman" w:hAnsi="Times New Roman"/>
          <w:sz w:val="18"/>
          <w:szCs w:val="18"/>
          <w:color w:val="auto"/>
        </w:rPr>
        <w:t>Cash paid included in operating cash flows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502</w:t>
        <w:tab/>
        <w:t>$</w:t>
      </w:r>
      <w:r>
        <w:rPr>
          <w:sz w:val="20"/>
          <w:szCs w:val="20"/>
          <w:color w:val="auto"/>
        </w:rPr>
        <w:tab/>
      </w:r>
      <w:r>
        <w:rPr>
          <w:rFonts w:ascii="Times New Roman" w:cs="Times New Roman" w:eastAsia="Times New Roman" w:hAnsi="Times New Roman"/>
          <w:sz w:val="17"/>
          <w:szCs w:val="17"/>
          <w:color w:val="auto"/>
        </w:rPr>
        <w:t>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43180</wp:posOffset>
            </wp:positionV>
            <wp:extent cx="19456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minimum lease payments required under the operating leases as of December 31, 2023, are summarized below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Future Minimum Lease Payments:</w:t>
            </w: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9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512</w:t>
            </w:r>
          </w:p>
        </w:tc>
      </w:tr>
      <w:tr>
        <w:trPr>
          <w:trHeight w:val="230"/>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231</w:t>
            </w:r>
          </w:p>
        </w:tc>
      </w:tr>
      <w:tr>
        <w:trPr>
          <w:trHeight w:val="229"/>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280</w:t>
            </w:r>
          </w:p>
        </w:tc>
      </w:tr>
      <w:tr>
        <w:trPr>
          <w:trHeight w:val="230"/>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1,452</w:t>
            </w:r>
          </w:p>
        </w:tc>
      </w:tr>
      <w:tr>
        <w:trPr>
          <w:trHeight w:val="20"/>
        </w:trPr>
        <w:tc>
          <w:tcPr>
            <w:tcW w:w="96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(185)</w:t>
            </w:r>
          </w:p>
        </w:tc>
      </w:tr>
      <w:tr>
        <w:trPr>
          <w:trHeight w:val="223"/>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1,267</w:t>
            </w:r>
          </w:p>
        </w:tc>
      </w:tr>
      <w:tr>
        <w:trPr>
          <w:trHeight w:val="20"/>
        </w:trPr>
        <w:tc>
          <w:tcPr>
            <w:tcW w:w="96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(434)</w:t>
            </w:r>
          </w:p>
        </w:tc>
      </w:tr>
      <w:tr>
        <w:trPr>
          <w:trHeight w:val="223"/>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833</w:t>
            </w:r>
          </w:p>
        </w:tc>
      </w:tr>
      <w:tr>
        <w:trPr>
          <w:trHeight w:val="20"/>
        </w:trPr>
        <w:tc>
          <w:tcPr>
            <w:tcW w:w="96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lease term (in years)</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34"/>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Incremental borrowing rate</w:t>
            </w: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includes option to renew the lease as part of the right of use lease asset and liability when it is reasonably certain the Company will exercise the option. In general, the Company is not reasonably certain to exercise such options.</w:t>
      </w:r>
    </w:p>
    <w:p>
      <w:pPr>
        <w:spacing w:after="0" w:line="50" w:lineRule="exact"/>
        <w:rPr>
          <w:sz w:val="20"/>
          <w:szCs w:val="20"/>
          <w:color w:val="auto"/>
        </w:rPr>
      </w:pPr>
    </w:p>
    <w:p>
      <w:pPr>
        <w:ind w:left="180" w:hanging="172"/>
        <w:spacing w:after="0"/>
        <w:tabs>
          <w:tab w:leader="none" w:pos="180" w:val="left"/>
        </w:tabs>
        <w:numPr>
          <w:ilvl w:val="0"/>
          <w:numId w:val="58"/>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auto"/>
        </w:rPr>
        <w:t>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Bristol-Myers Squibb Company License Agreement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9, 2014, the Company entered into a license agreement (as amended the “BMS License Agreement”) with BMS for exclusive rights for certain patents and a non-exclusive license for certain technology and know-how pertaining to FYARRO.</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BMS License Agreement will remain in effect from the effective date of April 9, 2014 until expiration of all milestone and royalty payment obligations under the agreement, unless terminated by either of the parties pursuant to the terms of the BMS License Agreement, including providing advance notice as specified in the agreement. Under the terms of the BMS License Agreement, BMS agreed to supply the Company with licensed products of FYARRO necessary for clinical or non-clinical development.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BMS License Agreement, BMS is entitled to receive royalties on net sales from licensed products under the agreement and any sublicense fees. During the years ended December 31, 2023 and 2022, royalties on net product sales were $1.8 million and $1.1 million, respectively. No payments related to sublicense fees were paid during the years ended December 31, 2023 and 2022.</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30, 2021, the Company and BMS entered into Amendment No. 1 (the “Amendment”) to the BMS License Agreement related to certain intellectual property rights of BMS pertaining to the compound known as FYARRO. Under the terms of the Amendment, the Company paid BMS $5.8 million representing 50% of the previously outstanding payment obligation under the terms of the BMS License Agreement, following the effective time of the 2021 private investment in public equity financing (the"2021 PIPE Financing"). Pursuant to the terms of the Amendment, the remaining previously outstanding payment obligation of $5.8 million, is due on the third anniversary of the effective time of the 2021</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PIPE Financing, or August 26, 2024 plus any accrued and unpaid interest due thereon (the “Balloon Payment”). The Balloon Payment shall accrue interest, beginning August 26, 2021 until paid in full, at a rate equal to 4.00% per annum based on the weighted average amount outstanding during the applicable calendar quarter, and interest is payable quarterly in arrears. In addition, the parties agreed to amend the royalty rates payable to BMS based on net sales of products subject to the BMS License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EOC License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8, 2020, the Company entered into a license agreement (“EOC License Agreement”) with EOC Pharma (Hong Kong) Limited (“EOC”) under which the Company received $14.0 million in January 2021 in non-refundable upfront consideration as partial payment for the rights and licenses granted to EOC by the Company for the further development and commercialization of FYARRO in the People’s Republic of China, Hong Kong Special Administration Region, Macao Special Administrative Region and Taiwan (the “Licensed Territory”). In accordance with the BMS License Agreement, the Company is required to pay 20% of all sublicense fees to BMS.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assessed the EOC License Agreement and concluded that EOC was a customer and identified the license of FYARRO provided to EOC as the sole performance obligation. The $14.0 million upfront payment received from EOC is non-refundable and non-creditable and is considered fixed consideration. The Company recognized revenue of $14.0 million in December 2020 when the EOC License Agreement was signed, and the $14.0 million upfront payment was received in January 2021.</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potential milestone payments and royalty payments under the EOC License Agreement were considered variable consideration and were constrained with respect to revenue recognition notification from EOC that the milestone and royalty payments had been achieved.</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eligible to receive an additional $257.0 million in the aggregate upon achievement of certain development, regulatory, and sales milestones, as well as tiered royalties on net sales in the Licensed Territory. Under the terms of the EOC License Agreement, EOC was obligated to fund all research, development, regulatory, marketing and commercialization activities in the defined Licensed Territory. The Company earned $1.0 million in milestone revenue upon achievement of the FDA approval milestone on November 22, 2021. EOC paid the $1.0 million milestone payment in December 2021. In accordance with the BMS License Agreement, 20% of the $1.0 million payment, or $0.2 million, was accrued at December 21, 2021 and paid in January 2022.</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27, 2022, the Company received written notice from EOC that EOC elected to terminate the EOC License Agreement, effective immediately, due to alleged material breaches by the Company under such agreement. The Company disagrees with, and continues to dispute, EOC’s allegations of material breach and does not believe that EOC had a right to terminate the EOC License Agreement for material breach, and accordingly believes that the termination of the EOC License Agreement is a termination for convenience. EOC had the right to terminate the agreement for convenience upon 120 days advance written notice. The Company waived such notice period in connection with EOC's termination notice and, as a result, the EOC License Agreement was terminated effective June 27, 2022. Either party had the right to terminate the EOC License Agreement in the event that the other party breached the agreement and failed to cure the breach, became insolvent or challenged certain of the intellectual property rights licensed under the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Preferred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and 2022, under the Company’s certificate of incorporation, as amended and restated, the Company has 10,000,000 shares of preferred stock, par value $0.0001 per share, in authorized capital with no shares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Pre-Funded Warrants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had 300,000,000 shares of authorized common stock with a par value of $0.0001 per share under the Company’s certificate of incorporation, as amended and restated. As of December 31, 2023 and 2022, the shares of common stock outstanding were 24,554,205 and 24,435,007, respectively.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2022, the Company entered into a Sales Agreement (the "Sales Agreement") with Cowen and Company LLC ("Cowen"), with respect to an “at the market offering” program pursuant to which the Company may offer and sell, from time to time at its sole discretion, shares of common stock having aggregate gross proceeds of up to $75.0 million through Cowen as its sales agent. The Company will pay Cowen 3.0% of the aggregate gross proceeds from each sale of shares of common stock under the Sales Agreement. As of December 31, 2023, no shares of common stock had been sold pursuant to the Sales Agreement.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22, 2022, the Company entered into a securities purchase agreement (the "Purchase Agreement") for a private investment in public equity financing (the "2022 PIPE Financing") with certain investors (the "2022 PIPE Investors") for the sale by the Company of (i) 3,373,526 shares of the Company’s common stock for a price of $12.50 per share and (ii) pre-funded warrants to purchase an aggregate of 2,426,493 shares of the Company's common stock (the "Pre-Funded Warrants") at a purchase price of $12.4999 per Pre-Funded Warrant. The Pre-Funded Warrants are exercisable at an exercise price of $0.0001 and will be exercisable until exercised in full. The holders of Pre-Funded Warrants may not exercise a Pre-Funded Warrant if the holder, together with its affiliates, would beneficially own more than 4.99% of the number of shares of the Company's common stock outstanding immediately after giving effect to such exercise; provided, that the holders of Pre-Funded Warrants may increase or decrease such percentages not in excess of 19.99% by providing at least 61 days’ prior notice to the Company. The 2022 PIPE Financing closed on September 26, 2022. Aggregate net proceeds, after deducting certain expenses incurred of $0.3 million related to the issuance of the shares, were $72.2 million.</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26, 2022, the Company and the 2022 PIPE Investors entered into a Registration Rights Agreement (the "2022 PIPE Registration Rights Agreement") providing for the registration for resale of the securities sold under the Purchase Agreement, including the shares issuable upon the exercise of the Pre-Funded Warrants, that are not then registered on an effective registration statement, pursuant to a registration statement filed with the SEC. The Pre-Funded Warrants meet the criteria to be classified within stockholders’ equity. As of December 31, 2023, all Pre-Funded Warrants are still outstanding.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receive cash dividends, if and when declared by the board of directors of the Company (the “board of directors”). Since the Company’s inception, no cash dividends have been declared or paid to the holders of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winding-up of the Company, the holders of common stock are entitled to share ratably in the Company’s assets.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one vote at all meetings of stockholders for each share of common stock held by such stockholders as of the record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Plan (as amended and restated in February 2017, the “Private Aadi Plan”)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Merger, the Company assumed the Private Aadi Plan, which was amended and restated in February 2017, and the issued and outstanding stock options under the Private Aadi Plan (the Private Aadi common stock underlying the awards was adjusted for shares of the Company’s common stock pursuant to the Merger Agreement). </w:t>
      </w:r>
      <w:r>
        <w:rPr>
          <w:rFonts w:ascii="Times New Roman" w:cs="Times New Roman" w:eastAsia="Times New Roman" w:hAnsi="Times New Roman"/>
          <w:sz w:val="18"/>
          <w:szCs w:val="18"/>
          <w:color w:val="231F20"/>
        </w:rPr>
        <w:t>The Private Aadi Plan allowed for the grant of incentive stock options, non-statutory stock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stock appreciation rights, restricted stock unit awards and other stock awards. In connection with the closing of the Merger and the adoption of the 2021 Plan (as defined below), no further awards will be issued under the Private Aadi Plan.</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The options that are granted from the Private Aadi Plan are exercisable at various dates as determined upon grant and will expire no more than ten years from their date of grant. The Private Aadi Plan stock options generally vest over a four-year term.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2011 Plan and 2017 Plan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Merger, the Company assumed the Aerpio 2011 Equity Incentive Plan (the “2011 Plan”) and the Aerpio 2017 Stock Option and Incentive Plan (the “2017 Plan,” and together with the 2011 Plan, the “Prior Plans”). No new awards will be granted under the Prior Plans effective as of the closing of the Merger and the adoption of the 2021 Plan (as defined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Plan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closing of the Merger, the Company adopted the Aadi Bioscience, Inc. 2021 Equity Incentive Plan (the “2021 Plan”), which permits the award of stock options, stock appreciation rights, restricted stock, restricted stock units, performance units and performance grants to employees, members of the board of directors, and outside consultants.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adjustment provisions contained in the 2021 Plan and the evergreen provision described below, a total of 2,070,784 shares of common stock were initially reserved for issuance pursuant to the 2021 Plan. In addition, the shares reserved for issuance under the 2021 Plan include any shares of common stock (i) subject to awards of stock options or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awards granted under the Prior Plans that expire or otherwise terminate without having been exercised in full and shares of common stock granted under the Prior Plans that are forfeited or repurchased by the Company, and (ii) any shares of common stock subject to stock options or similar awards granted under the Private Aadi Plan that were assumed in the Merger (provided that the maximum number of shares that may be added to the 2021 Plan pursuant to this sentence is 764,154 shares).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available for issuance under the 2021 Plan will include an annual increase, or the evergreen feature, on the first day of each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fiscal years, beginning with the Company’s fiscal year 2022, equal to the least of:</w:t>
      </w:r>
    </w:p>
    <w:p>
      <w:pPr>
        <w:spacing w:after="0" w:line="99" w:lineRule="exact"/>
        <w:rPr>
          <w:sz w:val="20"/>
          <w:szCs w:val="20"/>
          <w:color w:val="auto"/>
        </w:rPr>
      </w:pPr>
    </w:p>
    <w:p>
      <w:pPr>
        <w:ind w:left="980" w:hanging="486"/>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2,070,784 shares of common stock;</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equal to 4% of the outstanding shares of common stock on the last day of the immediately preceding fiscal year; or</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shares as the board of directors or its designated committee may determine.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evergreen increase, a total of 982,168 shares of common stock were added to the 2021 Plan on January 1, 2024 and 977,400 shares of common stock were added to the 2021 Plan on January 1, 2023.</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Shares issuable under the 2021 Plan are authorized, but unissued, or reacquired shares of common stock. If an award expires or becomes unexercisable without having been exercised in full, is surrendered pursuant to an exchange program, or, with respect to restricted stock, restricted stock units, performance units or performance shares, is forfeited to or repurchased by the combined company due to failure to vest, the unpurchased shares (or for awards other than stock options or stock appreciation rights, the forfeited or repurchased shares) will become available for future grant or sale under the 2021 Plan (unless the 2021 Plan has terminated).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Inducement Equity Incentive Plan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27, 2023 the Company adopted the 2023 Inducement Equity Incentive Plan (the “Inducement Plan”), pursuant to which the Company may from time to time make equity grants to new employees as a material inducement to their employment. The Company reserved 600,000 shares of common stock for issuance under the Inducement Plan. The only persons eligible to receive awards under the Inducement Plan are individuals who are new employees and satisfy the standards for inducement grants under applicable Nasdaq listing rules.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zero, 256,456, 99,025, 3,766,736, and 490,000 shares were outstanding under the 2011 Plan, Private Aadi Plan, 2017 Plan, 2021 Plan, and 2023 Inducement Plan,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during the year ended December 31, 2023: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280" w:type="dxa"/>
            <w:vAlign w:val="bottom"/>
            <w:vMerge w:val="restart"/>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5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00" w:type="dxa"/>
            <w:vAlign w:val="bottom"/>
          </w:tcPr>
          <w:p>
            <w:pPr>
              <w:spacing w:after="0"/>
              <w:rPr>
                <w:sz w:val="12"/>
                <w:szCs w:val="12"/>
                <w:color w:val="auto"/>
              </w:rPr>
            </w:pPr>
          </w:p>
        </w:tc>
        <w:tc>
          <w:tcPr>
            <w:tcW w:w="128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8"/>
        </w:trPr>
        <w:tc>
          <w:tcPr>
            <w:tcW w:w="504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7"/>
                <w:szCs w:val="17"/>
                <w:color w:val="auto"/>
              </w:rPr>
            </w:pPr>
          </w:p>
        </w:tc>
        <w:tc>
          <w:tcPr>
            <w:tcW w:w="12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2023</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2,990,423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2,282,409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Expired/cancelled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(651,540)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4,579,659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Options exercisable as of December 31, 2023</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vMerge w:val="continue"/>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1,494,789</w:t>
            </w:r>
          </w:p>
        </w:tc>
        <w:tc>
          <w:tcPr>
            <w:tcW w:w="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17.84</w:t>
            </w:r>
          </w:p>
        </w:tc>
        <w:tc>
          <w:tcPr>
            <w:tcW w:w="1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4,579,659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$25.3 million of unrecognized compensation cost related to stock options, which is expected to be recognized over a weighted average period of 2.5 years.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the options exercised during the years ended December 31, 2023 and 2022 was $0.2 million and $1.3 million, respectively.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657,734 shares were reserved for issuance under the 2021 Plan. As of December 31, 2023, 110,000 shares were reserved for issuance under the 2023 Inducement Plan.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stock consists of restricted stock unit awards (RSUs) which have been granted to employees. The value of an RSU award is based on the Company’s stock price on the date of grant. Employee grants vest over one year. Forfeitures of</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RSUs are recognized as they occur. The shares underlying the RSU awards are not issued until the RSUs vest. Upon vesting, each RSU converts into one share of the Company’s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 respect to the Company’s restricted stock units during the year ended December 31, 2023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12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3"/>
                <w:szCs w:val="13"/>
                <w:color w:val="auto"/>
              </w:rPr>
            </w:pPr>
          </w:p>
        </w:tc>
        <w:tc>
          <w:tcPr>
            <w:tcW w:w="17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80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8"/>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shares at January 1, 2023</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Vested/Issued</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shares at December 31, 2023</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$0.1 million of unrecognized compensation cost related to restricted stock units, which is expected to be recognized over a weighted average period of nine months.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 Summary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the following compensation cost related to employee and non-employee share-based compensation activity for the periods presented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96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6"/>
                <w:szCs w:val="16"/>
                <w:color w:val="auto"/>
              </w:rPr>
            </w:pPr>
          </w:p>
        </w:tc>
      </w:tr>
      <w:tr>
        <w:trPr>
          <w:trHeight w:val="203"/>
        </w:trPr>
        <w:tc>
          <w:tcPr>
            <w:tcW w:w="76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7"/>
                <w:szCs w:val="17"/>
                <w:color w:val="auto"/>
              </w:rPr>
            </w:pPr>
          </w:p>
        </w:tc>
      </w:tr>
      <w:tr>
        <w:trPr>
          <w:trHeight w:val="23"/>
        </w:trPr>
        <w:tc>
          <w:tcPr>
            <w:tcW w:w="7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w:t>
            </w:r>
          </w:p>
        </w:tc>
      </w:tr>
      <w:tr>
        <w:trPr>
          <w:trHeight w:val="22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uses the Black-Scholes option pricing model to determine the estimated fair value for share-based option awards. Option pricing and models require the input of various assumptions, including the option’s expected life, expected dividend yield, price volatility and risk-free interest rate of the underlying stock. </w:t>
      </w:r>
      <w:r>
        <w:rPr>
          <w:rFonts w:ascii="Times New Roman" w:cs="Times New Roman" w:eastAsia="Times New Roman" w:hAnsi="Times New Roman"/>
          <w:sz w:val="18"/>
          <w:szCs w:val="18"/>
          <w:color w:val="231F20"/>
        </w:rPr>
        <w:t>Forfeitures are recognized and accounted for as they occur.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was based on the following assumptions: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316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Pr>
          <w:p>
            <w:pPr>
              <w:spacing w:after="0"/>
              <w:rPr>
                <w:sz w:val="16"/>
                <w:szCs w:val="16"/>
                <w:color w:val="auto"/>
              </w:rPr>
            </w:pPr>
          </w:p>
        </w:tc>
      </w:tr>
      <w:tr>
        <w:trPr>
          <w:trHeight w:val="202"/>
        </w:trPr>
        <w:tc>
          <w:tcPr>
            <w:tcW w:w="692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9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r>
      <w:tr>
        <w:trPr>
          <w:trHeight w:val="22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$6.83</w:t>
            </w:r>
          </w:p>
        </w:tc>
        <w:tc>
          <w:tcPr>
            <w:tcW w:w="10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$12.20</w:t>
            </w:r>
          </w:p>
        </w:tc>
      </w:tr>
      <w:tr>
        <w:trPr>
          <w:trHeight w:val="22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 - 4.67%</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- 4.23%</w:t>
            </w:r>
          </w:p>
        </w:tc>
      </w:t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89.94% - 101.49%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w:t>
            </w: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- 89.35%</w:t>
            </w:r>
          </w:p>
        </w:tc>
      </w:tr>
      <w:tr>
        <w:trPr>
          <w:trHeight w:val="23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5.2 - 6.1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w:t>
            </w:r>
          </w:p>
        </w:tc>
      </w:t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determines the assumptions used in the option pricing model in the following manner:</w:t>
      </w:r>
    </w:p>
    <w:p>
      <w:pPr>
        <w:spacing w:after="0" w:line="11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 </w:t>
      </w:r>
      <w:r>
        <w:rPr>
          <w:rFonts w:ascii="Times New Roman" w:cs="Times New Roman" w:eastAsia="Times New Roman" w:hAnsi="Times New Roman"/>
          <w:sz w:val="18"/>
          <w:szCs w:val="18"/>
          <w:color w:val="auto"/>
        </w:rPr>
        <w:t>For the determination of the risk-free interest rates, the Company utilizes the U.S. Treasury yield curve for instruments in effect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measurement with a term commensurate with the expected term assumption.</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Due to the Company’s limited historical stock price volatility data, the Company based its estimate of expected volatility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and expected volatilities of a guideline group of publicly traded companies. For these analyses, the Company selected companies with comparable characteristics including enterprise value, risk profiles, and with historical share price information sufficient to meet the expected life of the share-based awards. The Company computes the historical volatility data using the daily closing prices for the selected companies’ shares during the equivalent period of the calculated expected term of its share-based awards. The Company will continue to apply this process until a sufficient amount of historical information regarding the volatility of its own stock price becomes available.</w:t>
      </w:r>
    </w:p>
    <w:p>
      <w:pPr>
        <w:spacing w:after="0" w:line="7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w:t>
      </w:r>
      <w:r>
        <w:rPr>
          <w:rFonts w:ascii="Times New Roman" w:cs="Times New Roman" w:eastAsia="Times New Roman" w:hAnsi="Times New Roman"/>
          <w:sz w:val="18"/>
          <w:szCs w:val="18"/>
          <w:color w:val="auto"/>
        </w:rPr>
        <w:t>– The expected dividend yield is assumed to be zero because the Company has never paid dividends and does not have current plans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 any dividends on its common stock.</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Company estimates the expected term of its stock options granted to employees and non-employee directors using the simplified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whereby, the expected term equals the average of the vesting term and the original</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contractual term of the option. The Company utilizes this method since it does not have sufficient historical exercise data to provide a reasonable basis upon which to estimate the expected term.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Warrants to Purchase Common Stock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had warrants outstanding for the purchase of 29,167 shares of the Company’s common stock at December 31, 2023 and 2022. These warrants were assumed in the Merger and were issued by Aerpio in October 2019, for the purchase of 40,000 shares (after taking into account the reverse stock split of the Company's common stock at a ratio of 15:1 effected on August 26, 2021 immediately prior to the closing of the merger (the "Reverse Stock Split") of the Company’s common stock at an exercise price of $7.29 per share (after taking into account the Reverse Stock Split). These warrants were fully vested as of the date of the Merger and expire on October 24, 2024. No warrants were exercised during the year ended December 31, 2023. At the grant date, the fair value of these awards was determined using a Black-Scholes option pricing model.</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number of shares and the exercise price shall be adjusted for standard anti-dilution events such as stock splits, combinations, reorganizations, or issue shares as part of a stock dividend. The warrants meet the criteria to be classified within stockholders’ equity.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Stock Purchase Plan</w:t>
      </w:r>
    </w:p>
    <w:p>
      <w:pPr>
        <w:spacing w:after="0" w:line="1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On August 17, 2021, a special meeting of the Company’s stockholders was held to approve the Merger and related matters, at which the Company's stockholders considered and approved the Company’s 2021 ESPP which permits participants to contribute up to 15% of their eligible compensation during defined rolling six-month offering periods to purchase the Company’s common stock. The purchase price of the shares will be 85% of the lower of the fair market value of the Company’s common stock on the first day of trading of the offering period or on the applicable purchase date. Upon approval of the 2021 ESPP by the stockholders, Aerpio’s Amended and Restated 2017 Employee Stock Purchase Plan terminated. An aggregate of 519,563 shares of common stock was initially reserved for issuance under the 2021 ESPP. The number of shares of common stock available for issuance under the 2021 ESPP is increased on the first day of each fiscal year beginning with the 2022 fiscal year in an amount equal to the least of (i) 310,617 shares of common stock, (ii) one percent (1%) of the outstanding shares of all classes of common stock on the last day of the immediately preceding fiscal year, or (iii) an amount to be determined by the board of directors or its designated committee no later than the last day of the immediately preceding fiscal year. On January 1, 2024, 245,542 shares of common stock were added to the 2021 ESPP. Shares of common stock issuable under the 2021 ESPP will be authorized, but unissued, or reacquired shares of common stock. If the Company’s capital structure changes because of a stock dividend, stock split or similar event, the number of shares that can be issued under the 2021 ESPP will be appropriately adjusted. The Company opened enrollment into the ESPP in May 2022.</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model to determine the estimated fair value for purchases under the 2021 ESPP. Black-Scholes models require the input of various assumptions, including the expected life, expected dividend yield, price volatility and risk-free interest rate of the underlying stock. The expected volatility used in calculating the estimated fair value for purchases under the 2021 ESPP is based on the historical volatility of the Company's common stock.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was based on the following assumptions: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Pr>
          <w:p>
            <w:pPr>
              <w:spacing w:after="0"/>
              <w:rPr>
                <w:sz w:val="16"/>
                <w:szCs w:val="16"/>
                <w:color w:val="auto"/>
              </w:rPr>
            </w:pPr>
          </w:p>
        </w:tc>
      </w:tr>
      <w:tr>
        <w:trPr>
          <w:trHeight w:val="23"/>
        </w:trPr>
        <w:tc>
          <w:tcPr>
            <w:tcW w:w="692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r>
      <w:tr>
        <w:trPr>
          <w:trHeight w:val="229"/>
        </w:trPr>
        <w:tc>
          <w:tcPr>
            <w:tcW w:w="6920" w:type="dxa"/>
            <w:vAlign w:val="bottom"/>
            <w:shd w:val="clear" w:color="auto" w:fill="CCEEFF"/>
          </w:tcPr>
          <w:p>
            <w:pPr>
              <w:spacing w:after="0"/>
              <w:rPr>
                <w:sz w:val="19"/>
                <w:szCs w:val="19"/>
                <w:color w:val="auto"/>
              </w:rPr>
            </w:pPr>
          </w:p>
        </w:tc>
        <w:tc>
          <w:tcPr>
            <w:tcW w:w="206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3"/>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Strike price (per share)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$5.98</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$11.66</w:t>
            </w: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- 5.41%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- 4.40%</w:t>
            </w:r>
          </w:p>
        </w:tc>
      </w:tr>
      <w:tr>
        <w:trPr>
          <w:trHeight w:val="23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60.99% - 176.11%</w:t>
            </w:r>
          </w:p>
        </w:tc>
        <w:tc>
          <w:tcPr>
            <w:tcW w:w="100" w:type="dxa"/>
            <w:vAlign w:val="bottom"/>
          </w:tcPr>
          <w:p>
            <w:pPr>
              <w:spacing w:after="0"/>
              <w:rPr>
                <w:sz w:val="19"/>
                <w:szCs w:val="19"/>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92.59% - 105.68%</w:t>
            </w:r>
          </w:p>
        </w:tc>
      </w:t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0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r>
      <w:tr>
        <w:trPr>
          <w:trHeight w:val="234"/>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and 2022, 659,146 and 492,361 shares of common stock were available for issuance under the 2021 ESPP, respectively. The Company had an outstanding liability of $0.1 million and $76,000 at December 31, 2023 and 2022, respectively, which will be recognized over six months. During the years ended December 31, 2023 and 2022, 77,565 and 27,202 shares were issued under the 2021 ESPP,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no income tax expense for the years ended December 31, 2023 and 2022. The Company continues to maintain a full valuation allowance.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statutory federal income tax with the provision for income taxes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6"/>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03"/>
        </w:trPr>
        <w:tc>
          <w:tcPr>
            <w:tcW w:w="7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permanent items</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tax rate</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Officers Compensation</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credit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
        </w:trPr>
        <w:tc>
          <w:tcPr>
            <w:tcW w:w="7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as follows (in thousands):</w:t>
            </w: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6"/>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03"/>
        </w:trPr>
        <w:tc>
          <w:tcPr>
            <w:tcW w:w="7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43,686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38,548</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0" w:type="dxa"/>
            <w:vAlign w:val="bottom"/>
          </w:tcPr>
          <w:p>
            <w:pPr>
              <w:spacing w:after="0"/>
              <w:rPr>
                <w:sz w:val="1"/>
                <w:szCs w:val="1"/>
                <w:color w:val="auto"/>
              </w:rPr>
            </w:pPr>
          </w:p>
        </w:tc>
      </w:tr>
      <w:tr>
        <w:trPr>
          <w:trHeight w:val="230"/>
        </w:trPr>
        <w:tc>
          <w:tcPr>
            <w:tcW w:w="7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174 capitalized research expense</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6,131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72,704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53,352</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(72,144)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(52,766)</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gross deferred tax assets, net of valuation allowance</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 assets and liabilities are recorded for differences between the financial statement and tax basis of the assets and liabilities that will result in taxable or deductible amounts in the future based on enacted laws and rates applicable to the periods in which the differences are expected to affect taxable income. Valuation allowances are established when necessary to reduce deferred tax assets to the amount expected to be realized in future periods.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the available evidence supporting the realization of its gross deferred tax assets, including the amount and timing of future taxable income and has determined it is more likely than not that the assets will not be realized. As a result, the Company has concluded that a full valuation allowance against its deferred tax asset is necessary at this time.</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 has federal and state net operating loss (“NOL”) carryforwards of $187.2 million and $92.0 million, respectively. Of the amount of federal and state NOL carryforwards, $143.1 million and $22.3 million, respectively, can be carried forward indefinitely. The remaining federal and state NOL carryforwards begin to expire in 2030 and 2037, unless previously utilized. The Company also has federal and state research credit carryforwards of approximately $9.1 million and $3.1 million, respectively, unless previously utilized. The federal and New Jersey research credit carryforwards will begin to expire in 2037 and 2027, respectively, unless previously utilized. The California research and development (“R&amp;D”) credit will carry forward indefinitely. The increase in the valuation allowance is $19.4 million and $14.4 million for the years ended December 31, 2023 and 2022, respectively.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Section 382 and 383 of the Internal Revenue Code (“IRC”), utilization of the Company’s NOL carryforwards and R&amp;D credits may be subject to annual limitations in the event of any significant future changes in its ownership structure. These annual limitations may result in the expiration of NOL carryforwards and R&amp;D credits prior to utilization.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completed an IRC section 382 analysis through December 31, 2022 and has identified ownership changes occurred on August 26, 2021 and February 28, 2017. These ownership changes will impose annual limits on the amounts of NOLs and R&amp;D credits available at the ownership change dates, however assuming the Company does not experience future ownership changes and there is adequate taxable income to absorb the existing NOLs and R&amp;D credits, none of these existing tax attributes are projected to expire before utilization. Future ownership changes occurring subsequent to December 31, 2022 may cause NOL and R&amp;D credit carryforwards to expire unused and, if so, such tax attributes will be removed from the deferred tax asset table above.</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Uncertain tax positions are evaluated based upon the facts and circumstances that exist at each reporting period. Subsequent changes in judgement based upon new information may lead to changes in recognition, derecognition, and measurement. Adjustment may result, for example, upon resolution of an issue with the taxing authorities or expiration of a statute of limitations barring an assessment for an issue.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a tax benefit from an uncertain tax position when it is more likely than not that the position will be sustained upon examination by tax authorities.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to the Company’s gross unrecognized tax benefits for the years ended December 31, 2023 and 2022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6"/>
                <w:szCs w:val="16"/>
                <w:color w:val="auto"/>
              </w:rPr>
            </w:pPr>
          </w:p>
        </w:tc>
      </w:tr>
      <w:tr>
        <w:trPr>
          <w:trHeight w:val="203"/>
        </w:trPr>
        <w:tc>
          <w:tcPr>
            <w:tcW w:w="8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year</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related to prior year positions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related to current year positions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year</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1"/>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Due to the existence of the valuation allowance, future recognition of previously unrecognized tax benefits will not impact the Company’s effective tax rate. The Company’s practice is to recognize interest and penalties related to income tax matters in income tax expense. The Company is subject to taxation in the United States federal and certain state jurisdictions. The Company’s tax years from inception are subject to examination by the United States federal and state authorities due to the carryforward of unutilized NOLs and R&amp;D credits. The Company does not anticipate the unrecognized tax benefits to change materially within the next twelve months.</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no accrued interest and no penalties related to income tax matters in the Company’s balance sheet as of December 31, 2023 and has not recognized interest or penalties in the Company’s statement of operations and loss for the year ended December 31, 2023. Further, the Company is not currently under examination by any federal, state or local tax authority.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could be subject to various legal proceedings and claims that arise in the ordinary course of its business activities. Regardless of the outcome, legal proceedings can have an adverse impact on the Company because of defense and settlement costs, diversion of management resources and other factors.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27, 2022, EOC filed a Request for Arbitration with the International Chamber of Commerce’s International Court of Arbitration against the Company. In the Request for Arbitration, EOC claims that the Company breached certain provisions of the EOC License Agreement, including failing to provide certain manufacturing information to EOC. As a result, EOC is seeking monetary damages. The arbitration process is ongoing. The Company intends to defend itself vigorously in this matter and pursue all relief to which the Company is entitled. The Company is unable to estimate the possible loss or range of loss. No amounts have been accrued as of December 31, 2023. See Note 8 to these audited financial statements for more information about the EOC License Agreement and its termination.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ongoing contracts with vendors for clinical trials and contract manufacturing. These contracts are generally cancellable, with notice, at the Company’s option. The Company recorded accrued expenses of $5.7 million and $2.8 million for expenditures incurred by clinical and contract manufacturing vendors as of December 31, 2023 and 2022, respectively.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the Company was party to a Negotiated Purchase Order Terms and Conditions for Clinical and Commercial Product, as amended effective as of August 1, 2022 (the "Fresenius Agreement"), with Fresenius Kabi that contains specific activities including non-cancellable commitments, minimum purchase commitments, and binding annual</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forecasts. As of December 31, 2023, there were non-cancellable purchase commitments under the Fresenius Agreement related to the purchase of inventory for $4.9 million to be paid in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Mirati Collaboration</w:t>
      </w:r>
    </w:p>
    <w:p>
      <w:pPr>
        <w:spacing w:after="0" w:line="12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October 2022, the Company entered into a collaboration and supply agreement with Mirati Therapeutics, Inc. (“Mirati”) to evaluate the combination of Mirati’s adagrasib, a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selective inhibitor, and FYARRO in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mutant non-small cell lung cancer (NSCLC) and other solid tumors. Under the terms of the agreement, Mirati will be responsible for sponsoring and operating the Phase 1/2 study and the Company will supply study drug and jointly share the cost of the study.</w:t>
      </w:r>
    </w:p>
    <w:p>
      <w:pPr>
        <w:spacing w:after="0" w:line="90"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The primary objective of this multi-center, single-arm, open-label Phase 1/2 trial is to determine the optimal dose and recommended Phase 2 dose for the combination of adagrasib and FYARRO in patients with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mutant solid tumors. In addition, the study will investigate the safety, tolerability and efficacy of adagrasib and FYARRO in combination in patients both with and without prior exposure to a KRAS</w:t>
      </w:r>
      <w:r>
        <w:rPr>
          <w:rFonts w:ascii="Times New Roman" w:cs="Times New Roman" w:eastAsia="Times New Roman" w:hAnsi="Times New Roman"/>
          <w:sz w:val="23"/>
          <w:szCs w:val="23"/>
          <w:color w:val="auto"/>
          <w:vertAlign w:val="superscript"/>
        </w:rPr>
        <w:t>G12C</w:t>
      </w:r>
      <w:r>
        <w:rPr>
          <w:rFonts w:ascii="Times New Roman" w:cs="Times New Roman" w:eastAsia="Times New Roman" w:hAnsi="Times New Roman"/>
          <w:sz w:val="18"/>
          <w:szCs w:val="18"/>
          <w:color w:val="auto"/>
        </w:rPr>
        <w:t xml:space="preserve"> inhibitor. The trial will build on preclinical data showing enhanced anti-tumor efficacy with the combination of adagrasib and FYARRO relative to either agent alone.</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Company incurred $0.9 million in expenses related to the Mirati collaboration. For the year ended December 31, 2022, no expense was incurred related to the Mirati collaboration.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 Retirement Plan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a 401(k) plan (the “401k Plan”) created in 2015 for the benefit of its employees. All employees who have attained the age of 21 are eligible to participate in the 401k Plan as of the first entry date, as defined by the 401k Plan document, following the employment date. Each employee can contribute a percentage of compensation up to a maximum of the statutory limits per year. Company contributions are discretionary. Contributions of $0.7 million and $0.5 million were made during the years ended December 31, 2023 and 2022.</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information required to be disclosed in our Company’s reports under the Exchange Act, is recorded, processed, summarized and reported within the time periods specified in the SEC’s rules and forms, and that such information is accumulated and communicated to management, including our Chief Executive Officer and President, and Chief Financial Officer,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Management necessarily was required to apply its judgment in evaluating the cost-benefit relationship of possible controls and procedures.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preparation of this Annual Report for the year ended December 31, 2023, an evaluation was performed under the supervision and with the participation of our management, including our Chief Executive Officer and President, and Chief Financial Officer, of the effectiveness of the design and operation of our disclosure controls and procedures (as defined in Rule 13a-15(e) under the Exchange Act) as of December 31, 2023. Based on that evaluation, our Chief Executive Officer and President, and Chief Financial Officer has concluded based upon the evaluation described above that, as of December 31, 2023, our disclosure controls and procedures were effective at the reasonable assurance level.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for us. Internal control over financial reporting (as defined in Rule 13a-15(f) of the Exchange Act) is a process to provide reasonable assurance regarding the reliability of our financial reporting for external purposes in accordance with U.S. generally accepted accounting principles. Internal control over financial reporting includes maintaining records that in reasonable detail accurately and fairly reflect our transactions; providing reasonable assurance that transactions are recorded as necessary for preparation of our consolidated financial statements; providing reasonable assurance that receipts and expenditures of company assets are made in accordance with management authorization; and providing reasonable assurance that unauthorized acquisition, use or disposition of company assets that could have a material effect on our consolidated financial statements would be prevented or detected on a timely basis. Because of its inherent limitations, internal control over financial reporting is not intended to provide absolute assurance that a misstatement of our consolidated financial statements would be prevented or detected.</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of and with the participation of our principal executive and financial officer, our management conducted an evaluation of the effectiveness, as of December 31, 2023, of our internal control over financial reporting based on the framework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Based on this evaluation, management concluded that our internal control over financial reporting was effective as of December 31,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during the fourth quarter ended December 31, 2023 that have materially affected, or are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ind w:right="52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other information required by this item is omitted from this Annual Report on Form 10-K and is incorporated herein by reference from our definitive proxy statement relating to our 2024 Annual Meeting of Stockholders (the “Definitive Proxy Statement”).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employees, officers and directors, including those officers responsible for financial reporting. Our code of business conduct and ethics is available on our website, which is located at www.aadibio.com. We intend to disclose any amendments to the code, or any waivers of its requirements, on our website, or in a current report on Form 8-K as may be required by law.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11 will be contained in the Definitive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12 will be contained in the Definitive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13 will be contained in the Definitive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14 will be contained in the Definitive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consolidated financial statements required by this item are submitted in a separate section beginning on page </w:t>
      </w:r>
      <w:r>
        <w:rPr>
          <w:rFonts w:ascii="Times New Roman" w:cs="Times New Roman" w:eastAsia="Times New Roman" w:hAnsi="Times New Roman"/>
          <w:sz w:val="18"/>
          <w:szCs w:val="18"/>
          <w:u w:val="single" w:color="auto"/>
          <w:color w:val="0000FF"/>
        </w:rPr>
        <w:t>114</w:t>
      </w:r>
      <w:r>
        <w:rPr>
          <w:rFonts w:ascii="Times New Roman" w:cs="Times New Roman" w:eastAsia="Times New Roman" w:hAnsi="Times New Roman"/>
          <w:sz w:val="18"/>
          <w:szCs w:val="18"/>
          <w:color w:val="auto"/>
        </w:rPr>
        <w:t xml:space="preserve"> of this Annual Report.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11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 information required to be set forth therein is not applicable or is shown in the financial statements or notes thereto.</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(a)(3) Exhibits.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filed as part of this Annual Report are set forth on the Exhibit Index immediately preceding the signature page of this Annual Report.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 Index is incorporated herein by reference.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240"/>
          </w:cols>
          <w:pgMar w:left="320" w:top="121" w:right="339" w:bottom="1440" w:gutter="0" w:footer="0" w:header="0"/>
        </w:sectPr>
      </w:pP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8147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2.1</w:t>
      </w:r>
    </w:p>
    <w:p>
      <w:pPr>
        <w:spacing w:after="0" w:line="200" w:lineRule="exact"/>
        <w:rPr>
          <w:sz w:val="20"/>
          <w:szCs w:val="20"/>
          <w:color w:val="auto"/>
        </w:rPr>
      </w:pPr>
    </w:p>
    <w:p>
      <w:pPr>
        <w:spacing w:after="0" w:line="3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3.1</w:t>
      </w:r>
    </w:p>
    <w:p>
      <w:pPr>
        <w:spacing w:after="0" w:line="3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3.2</w:t>
      </w:r>
    </w:p>
    <w:p>
      <w:pPr>
        <w:spacing w:after="0" w:line="3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4.1*</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4.2</w:t>
      </w:r>
    </w:p>
    <w:p>
      <w:pPr>
        <w:spacing w:after="0" w:line="3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3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3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10.6#</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532320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323205" cy="8255"/>
                    </a:xfrm>
                    <a:prstGeom prst="rect">
                      <a:avLst/>
                    </a:prstGeom>
                    <a:noFill/>
                  </pic:spPr>
                </pic:pic>
              </a:graphicData>
            </a:graphic>
          </wp:anchor>
        </w:drawing>
      </w:r>
    </w:p>
    <w:p>
      <w:pPr>
        <w:spacing w:after="0" w:line="136" w:lineRule="exact"/>
        <w:rPr>
          <w:sz w:val="20"/>
          <w:szCs w:val="20"/>
          <w:color w:val="auto"/>
        </w:rPr>
      </w:pPr>
    </w:p>
    <w:p>
      <w:pPr>
        <w:jc w:val="both"/>
        <w:ind w:right="1500"/>
        <w:spacing w:after="0" w:line="266" w:lineRule="auto"/>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Agreement and Plan of Merger, dated May 16, 2021, by and among the registrant, Aadi Bioscience, Inc. and Aspen</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Merger Subsidiary, Inc. (incorporated by reference to Exhibit 2.1 to the Registrant’s Current Report on Form 8-K</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(File No. 001-38560) filed with the SEC on May 17, 2021).</w:t>
        </w:r>
      </w:hyperlink>
    </w:p>
    <w:p>
      <w:pPr>
        <w:spacing w:after="0" w:line="68" w:lineRule="exact"/>
        <w:rPr>
          <w:rFonts w:ascii="Times New Roman" w:cs="Times New Roman" w:eastAsia="Times New Roman" w:hAnsi="Times New Roman"/>
          <w:sz w:val="18"/>
          <w:szCs w:val="18"/>
          <w:u w:val="single" w:color="auto"/>
          <w:color w:val="0000FF"/>
        </w:rPr>
      </w:pPr>
    </w:p>
    <w:p>
      <w:pPr>
        <w:jc w:val="both"/>
        <w:ind w:right="1500"/>
        <w:spacing w:after="0" w:line="282" w:lineRule="auto"/>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Amended and Restated Certificate of Incorporation of the Company (incorporated by reference to Exhibit 3.1 to the</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Registrant’s Current Report on Form 8-K (File No. 001-38560) filed with the SEC on August 27, 2021).</w:t>
        </w:r>
      </w:hyperlink>
    </w:p>
    <w:p>
      <w:pPr>
        <w:spacing w:after="0" w:line="54" w:lineRule="exact"/>
        <w:rPr>
          <w:sz w:val="20"/>
          <w:szCs w:val="20"/>
          <w:color w:val="auto"/>
        </w:rPr>
      </w:pPr>
    </w:p>
    <w:p>
      <w:pPr>
        <w:jc w:val="both"/>
        <w:ind w:right="1520"/>
        <w:spacing w:after="0" w:line="282" w:lineRule="auto"/>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Amended and Restated Bylaws of the Company (incorporated by reference to Exhibit 3.1 to the Registrant’s</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Current Report on Form 8-K (File No. 001-38560) filed with the SEC on December 7, 2022).</w:t>
        </w:r>
      </w:hyperlink>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Description of Registrant's Capital Stock.</w:t>
      </w:r>
    </w:p>
    <w:p>
      <w:pPr>
        <w:spacing w:after="0" w:line="117" w:lineRule="exact"/>
        <w:rPr>
          <w:sz w:val="20"/>
          <w:szCs w:val="20"/>
          <w:color w:val="auto"/>
        </w:rPr>
      </w:pPr>
    </w:p>
    <w:p>
      <w:pPr>
        <w:ind w:right="1660"/>
        <w:spacing w:after="0" w:line="282" w:lineRule="auto"/>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Form of Pre-Funded Warrant (incorporated by reference to Exhibit 4.1 to the Registrant's Current Report on Form</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8-K (File No. 001-38560) filed with the SEC on September 22, 2022).</w:t>
        </w:r>
      </w:hyperlink>
    </w:p>
    <w:p>
      <w:pPr>
        <w:spacing w:after="0" w:line="54" w:lineRule="exact"/>
        <w:rPr>
          <w:sz w:val="20"/>
          <w:szCs w:val="20"/>
          <w:color w:val="auto"/>
        </w:rPr>
      </w:pPr>
    </w:p>
    <w:p>
      <w:pPr>
        <w:jc w:val="both"/>
        <w:ind w:right="1500"/>
        <w:spacing w:after="0" w:line="266" w:lineRule="auto"/>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Form of Securities Purchase Agreement, dated September 22, 2022, by and among the Company and the</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Purchasers (incorporated by reference to Exhibit 10.1 to the Registrant's Current Report on Form 8-K (File No.</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 xml:space="preserve">001-38560) </w:t>
        </w:r>
      </w:hyperlink>
      <w:hyperlink r:id="rId192">
        <w:r>
          <w:rPr>
            <w:rFonts w:ascii="Times New Roman" w:cs="Times New Roman" w:eastAsia="Times New Roman" w:hAnsi="Times New Roman"/>
            <w:sz w:val="18"/>
            <w:szCs w:val="18"/>
            <w:u w:val="single" w:color="auto"/>
            <w:color w:val="0000FF"/>
          </w:rPr>
          <w:t>filed with the SEC on September 22, 2022).</w:t>
        </w:r>
      </w:hyperlink>
    </w:p>
    <w:p>
      <w:pPr>
        <w:spacing w:after="0" w:line="68" w:lineRule="exact"/>
        <w:rPr>
          <w:rFonts w:ascii="Times New Roman" w:cs="Times New Roman" w:eastAsia="Times New Roman" w:hAnsi="Times New Roman"/>
          <w:sz w:val="18"/>
          <w:szCs w:val="18"/>
          <w:u w:val="single" w:color="auto"/>
          <w:color w:val="0000FF"/>
        </w:rPr>
      </w:pPr>
    </w:p>
    <w:p>
      <w:pPr>
        <w:jc w:val="both"/>
        <w:ind w:right="1520"/>
        <w:spacing w:after="0" w:line="266" w:lineRule="auto"/>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Form of Registration Rights Agreement, dated September 22, 2022, by and among the Company and the</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Purchasers (incorporated by reference to Exhibit 10.2 to the Registrant's Current Report on Form 8-K (File No.</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 xml:space="preserve">001-38560) </w:t>
        </w:r>
      </w:hyperlink>
      <w:hyperlink r:id="rId194">
        <w:r>
          <w:rPr>
            <w:rFonts w:ascii="Times New Roman" w:cs="Times New Roman" w:eastAsia="Times New Roman" w:hAnsi="Times New Roman"/>
            <w:sz w:val="18"/>
            <w:szCs w:val="18"/>
            <w:u w:val="single" w:color="auto"/>
            <w:color w:val="0000FF"/>
          </w:rPr>
          <w:t>filed with the SEC on September 22, 2022).</w:t>
        </w:r>
      </w:hyperlink>
    </w:p>
    <w:p>
      <w:pPr>
        <w:spacing w:after="0" w:line="68" w:lineRule="exact"/>
        <w:rPr>
          <w:rFonts w:ascii="Times New Roman" w:cs="Times New Roman" w:eastAsia="Times New Roman" w:hAnsi="Times New Roman"/>
          <w:sz w:val="18"/>
          <w:szCs w:val="18"/>
          <w:u w:val="single" w:color="auto"/>
          <w:color w:val="0000FF"/>
        </w:rPr>
      </w:pPr>
    </w:p>
    <w:p>
      <w:pPr>
        <w:jc w:val="both"/>
        <w:ind w:right="1500"/>
        <w:spacing w:after="0" w:line="266" w:lineRule="auto"/>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Registration Rights Agreement dated August 26, 2021, by and between Aadi Bioscience, Inc. (formerly known as</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Aerpio Pharmaceuticals, Inc.) and certain purchasers listed therein (incorporated by reference to Exhibit 10.3 to the</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Registrant’s Current Report on Form 8-K (File No. 001-38560) filed with the SEC on August 27, 2021).</w:t>
        </w:r>
      </w:hyperlink>
    </w:p>
    <w:p>
      <w:pPr>
        <w:spacing w:after="0" w:line="68" w:lineRule="exact"/>
        <w:rPr>
          <w:rFonts w:ascii="Times New Roman" w:cs="Times New Roman" w:eastAsia="Times New Roman" w:hAnsi="Times New Roman"/>
          <w:sz w:val="18"/>
          <w:szCs w:val="18"/>
          <w:u w:val="single" w:color="auto"/>
          <w:color w:val="0000FF"/>
        </w:rPr>
      </w:pPr>
    </w:p>
    <w:p>
      <w:pPr>
        <w:jc w:val="both"/>
        <w:ind w:right="1500"/>
        <w:spacing w:after="0" w:line="266" w:lineRule="auto"/>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Amended and Restated Employment Agreement, dated November 8, 2022, by and between Aadi Bioscience, Inc.</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and Neil Desai, Ph.D.(incorporated by reference to Exhibit 10.4 to the Registrant’s Annual Report on Form 10-K</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(File No. 001-38560) filed with the SEC on March 29, 2023).</w:t>
        </w:r>
      </w:hyperlink>
    </w:p>
    <w:p>
      <w:pPr>
        <w:spacing w:after="0" w:line="68" w:lineRule="exact"/>
        <w:rPr>
          <w:rFonts w:ascii="Times New Roman" w:cs="Times New Roman" w:eastAsia="Times New Roman" w:hAnsi="Times New Roman"/>
          <w:sz w:val="18"/>
          <w:szCs w:val="18"/>
          <w:u w:val="single" w:color="auto"/>
          <w:color w:val="0000FF"/>
        </w:rPr>
      </w:pPr>
    </w:p>
    <w:p>
      <w:pPr>
        <w:jc w:val="both"/>
        <w:ind w:right="1520"/>
        <w:spacing w:after="0" w:line="266" w:lineRule="auto"/>
        <w:rPr>
          <w:rFonts w:ascii="Times New Roman" w:cs="Times New Roman" w:eastAsia="Times New Roman" w:hAnsi="Times New Roman"/>
          <w:sz w:val="18"/>
          <w:szCs w:val="18"/>
          <w:u w:val="single" w:color="auto"/>
          <w:color w:val="0000FF"/>
        </w:rPr>
      </w:pPr>
      <w:hyperlink r:id="rId197">
        <w:r>
          <w:rPr>
            <w:rFonts w:ascii="Times New Roman" w:cs="Times New Roman" w:eastAsia="Times New Roman" w:hAnsi="Times New Roman"/>
            <w:sz w:val="18"/>
            <w:szCs w:val="18"/>
            <w:u w:val="single" w:color="auto"/>
            <w:color w:val="0000FF"/>
          </w:rPr>
          <w:t>Executive Employment Agreement, dated October 28, 2021, by and between Aadi Bioscience, Inc. and Scott</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Giacobello (incorporated by reference to Exhibit 10.5 to the Registrant’s Annual Report on Form 10-K (File No.</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001-38560) filed with the SEC on March 17, 2022).</w:t>
        </w:r>
      </w:hyperlink>
    </w:p>
    <w:p>
      <w:pPr>
        <w:spacing w:after="0" w:line="68" w:lineRule="exact"/>
        <w:rPr>
          <w:rFonts w:ascii="Times New Roman" w:cs="Times New Roman" w:eastAsia="Times New Roman" w:hAnsi="Times New Roman"/>
          <w:sz w:val="18"/>
          <w:szCs w:val="18"/>
          <w:u w:val="single" w:color="auto"/>
          <w:color w:val="0000FF"/>
        </w:rPr>
      </w:pPr>
    </w:p>
    <w:p>
      <w:pPr>
        <w:jc w:val="both"/>
        <w:ind w:right="1520"/>
        <w:spacing w:after="0" w:line="282" w:lineRule="auto"/>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Aadi Bioscience, Inc. 2021 Equity Incentive Plan (incorporated by reference to Exhibit 10.6 to the Registrant’s</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Current Report on Form 8-K (File No. 001-38560) filed with the SEC on August 27, 2021).</w:t>
        </w:r>
      </w:hyperlink>
    </w:p>
    <w:p>
      <w:pPr>
        <w:spacing w:after="0" w:line="54" w:lineRule="exact"/>
        <w:rPr>
          <w:sz w:val="20"/>
          <w:szCs w:val="20"/>
          <w:color w:val="auto"/>
        </w:rPr>
      </w:pPr>
    </w:p>
    <w:p>
      <w:pPr>
        <w:jc w:val="both"/>
        <w:ind w:right="1500"/>
        <w:spacing w:after="0" w:line="266" w:lineRule="auto"/>
        <w:rPr>
          <w:rFonts w:ascii="Times New Roman" w:cs="Times New Roman" w:eastAsia="Times New Roman" w:hAnsi="Times New Roman"/>
          <w:sz w:val="18"/>
          <w:szCs w:val="18"/>
          <w:u w:val="single" w:color="auto"/>
          <w:color w:val="0000FF"/>
        </w:rPr>
      </w:pPr>
      <w:hyperlink r:id="rId199">
        <w:r>
          <w:rPr>
            <w:rFonts w:ascii="Times New Roman" w:cs="Times New Roman" w:eastAsia="Times New Roman" w:hAnsi="Times New Roman"/>
            <w:sz w:val="18"/>
            <w:szCs w:val="18"/>
            <w:u w:val="single" w:color="auto"/>
            <w:color w:val="0000FF"/>
          </w:rPr>
          <w:t>Form of Stock Option Agreement under the Aadi Bioscience, Inc. 2021 Equity Incentive Plan (incorporated by</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reference to Exhibit 10.7 to the Registrant’s Current Report on Form 8-K (File No. 001-38560) filed with the SEC</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on August 27, 2021).</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00" w:space="680"/>
            <w:col w:w="9860"/>
          </w:cols>
          <w:pgMar w:left="320" w:top="121" w:right="33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329"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4" w:name="page145"/>
    <w:bookmarkEnd w:id="144"/>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2"/>
        </w:trPr>
        <w:tc>
          <w:tcPr>
            <w:tcW w:w="1280" w:type="dxa"/>
            <w:vAlign w:val="bottom"/>
            <w:tcBorders>
              <w:top w:val="single" w:sz="8" w:color="0000FF"/>
            </w:tcBorders>
          </w:tcPr>
          <w:p>
            <w:pPr>
              <w:ind w:left="30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83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2021 Employee Stock Purchase Plan (incorporated by reference to Exhibit 10.8 to the Registrant’s Current Report</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on Form 8-K (File No. 001-38560) filed with the SEC on August 27, 2021).</w:t>
              </w:r>
            </w:hyperlink>
          </w:p>
        </w:tc>
        <w:tc>
          <w:tcPr>
            <w:tcW w:w="28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83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Aadi Bioscience, Inc. Amended and Restated 2014 Equity Incentive Plan (incorporated by reference to Exhibit 10.9</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60" w:type="dxa"/>
            <w:vAlign w:val="bottom"/>
            <w:gridSpan w:val="14"/>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to the Registrant’s Current Report on Form 8-K (File No. 001-38560) filed with the SEC on August 27, 2021).</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3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Form of Stock Option Agreement under the Aadi Bioscience, Inc. Amended and Restated 2014 Equity Incentive</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Plan (incorporated by reference to Exhibit 10.10 to the Registrant’s Current Report on Form 8-K (File No. 001-</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60" w:type="dxa"/>
            <w:vAlign w:val="bottom"/>
            <w:gridSpan w:val="14"/>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38560) filed with the SEC on August 27, 2021).</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3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Form of Indemnification Agreement between Aadi Bioscience, Inc. and each of its directors and executive officers</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(incorporated by reference to Exhibit 10.11 to the Registrant’s Current Report on Form 8-K (File No. 001-38560)</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filed with the SEC on August 27, 2021).</w:t>
              </w:r>
            </w:hyperlink>
          </w:p>
        </w:tc>
        <w:tc>
          <w:tcPr>
            <w:tcW w:w="54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4"/>
                <w:szCs w:val="24"/>
                <w:color w:val="auto"/>
              </w:rPr>
            </w:pPr>
          </w:p>
        </w:tc>
        <w:tc>
          <w:tcPr>
            <w:tcW w:w="83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Amended and Restated License Agreement by and between Abraxis BioScience, LLC and Aadi Bioscience, Inc.</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dated November 15, 2019 (incorporated by reference to Exhibit 10.13 to the Registrant’s Quarterly Report on Form</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60" w:type="dxa"/>
            <w:vAlign w:val="bottom"/>
            <w:gridSpan w:val="14"/>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10-Q (File No. 001-38560) filed with the SEC on November 10, 2021).</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360" w:type="dxa"/>
            <w:vAlign w:val="bottom"/>
            <w:gridSpan w:val="14"/>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Amendment No. 1 to the Amended and Restated License Agreement between Abraxis BioScience, LLC and Aadi</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60" w:type="dxa"/>
            <w:vAlign w:val="bottom"/>
            <w:gridSpan w:val="14"/>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Bioscience, Inc. dated August 30, 2021 (incorporated by reference to Exhibit 10.14 to the Registrant’s Quarterly</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4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Report on Form 10-Q (File No. 001-38560) filed with the SEC on November 10, 2021)</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3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Office Lease dated April 19, 2019 by and between BRE Sunset Coast, LLC and Aadi Bioscience, Inc. (incorporated</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by reference to Exhibit 10.15 to the Registrant’s Annual Report on Form 10-K (File No. 001-38560) filed with the</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SEC on March 29, 2023).</w:t>
              </w:r>
            </w:hyperlink>
          </w:p>
        </w:tc>
        <w:tc>
          <w:tcPr>
            <w:tcW w:w="6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4"/>
                <w:szCs w:val="24"/>
                <w:color w:val="auto"/>
              </w:rPr>
            </w:pPr>
          </w:p>
        </w:tc>
        <w:tc>
          <w:tcPr>
            <w:tcW w:w="83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First Amendment to Office Lease dated August 30, 2021 by and between BRE Sunset Coast, LLC and Aadi</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Bioscience, Inc. (incorporated by reference to Exhibit 10.15 to the Registrant’s Quarterly Report on Form 10-Q</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(File No. 001-38560) filed with the SEC on November 10, 2021).</w:t>
              </w:r>
            </w:hyperlink>
          </w:p>
        </w:tc>
        <w:tc>
          <w:tcPr>
            <w:tcW w:w="36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4"/>
                <w:szCs w:val="24"/>
                <w:color w:val="auto"/>
              </w:rPr>
            </w:pPr>
          </w:p>
        </w:tc>
        <w:tc>
          <w:tcPr>
            <w:tcW w:w="83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Employment Agreement dated October 19, 2021, by and between Loretta Itri and Aadi Bioscience, Inc.</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(incorporated by reference to Exhibit 10.17 to the Registrant’s Quarterly Report on Form 10-Q (File No. 001-</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60" w:type="dxa"/>
            <w:vAlign w:val="bottom"/>
            <w:gridSpan w:val="14"/>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38560) filed with the SEC on November 10, 2021)</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3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Senior Cash Incentive Bonus Plan. (incorporated by reference to Exhibit 10.15 in the Registrant’s Annual Report</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60" w:type="dxa"/>
            <w:vAlign w:val="bottom"/>
            <w:gridSpan w:val="14"/>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on Form 10-K (File No. 000-53057) filed with the SEC on March 15, 2017)</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0" w:type="dxa"/>
            <w:vAlign w:val="bottom"/>
            <w:tcBorders>
              <w:right w:val="single" w:sz="8" w:color="0000FF"/>
            </w:tcBorders>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3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Negotiated Purchase Order Terms and Conditions for Clinical and Commercial Product, dated as of January 13,</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60" w:type="dxa"/>
            <w:vAlign w:val="bottom"/>
            <w:gridSpan w:val="14"/>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2022, by and between Aadi Bioscience, Inc. and Fresenius Kabi, LLC (incorporated by reference to Exhibit 10.1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4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the Registrant’s Current Report on Form 8-K (File No. 001-38560) filed with the SEC on September 20,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0" w:type="dxa"/>
            <w:vAlign w:val="bottom"/>
            <w:tcBorders>
              <w:right w:val="single" w:sz="8" w:color="0000FF"/>
            </w:tcBorders>
            <w:gridSpan w:val="3"/>
            <w:shd w:val="clear" w:color="auto" w:fill="0000FF"/>
          </w:tcPr>
          <w:p>
            <w:pPr>
              <w:spacing w:after="0" w:line="20" w:lineRule="exact"/>
              <w:rPr>
                <w:sz w:val="1"/>
                <w:szCs w:val="1"/>
                <w:color w:val="auto"/>
              </w:rPr>
            </w:pPr>
          </w:p>
        </w:tc>
        <w:tc>
          <w:tcPr>
            <w:tcW w:w="4560" w:type="dxa"/>
            <w:vAlign w:val="bottom"/>
            <w:gridSpan w:val="8"/>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3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Amendment No.1 to the Negotiated Purchase Order Terms and Conditions for Clinical and Commercial Product,</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dated as of January 16, 2023, by and between Aadi Bioscience, Inc. and Fresenius Kabi, LLC .(incorporated by</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reference to Exhibit 10.21 to the Registrant’s Annual Report on Form 10-K (File No. 001-38560) filed with the</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SEC on March 29, 2023).</w:t>
              </w:r>
            </w:hyperlink>
          </w:p>
        </w:tc>
        <w:tc>
          <w:tcPr>
            <w:tcW w:w="6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4"/>
                <w:szCs w:val="24"/>
                <w:color w:val="auto"/>
              </w:rPr>
            </w:pPr>
          </w:p>
        </w:tc>
        <w:tc>
          <w:tcPr>
            <w:tcW w:w="8360" w:type="dxa"/>
            <w:vAlign w:val="bottom"/>
            <w:gridSpan w:val="14"/>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Sales Agreement, dated as of March 17, 2022, by and between Aadi Bioscience, Inc. and Cowen and Company,</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0" w:type="dxa"/>
            <w:vAlign w:val="bottom"/>
            <w:tcBorders>
              <w:right w:val="single" w:sz="8" w:color="0000FF"/>
            </w:tcBorders>
            <w:gridSpan w:val="3"/>
            <w:shd w:val="clear" w:color="auto" w:fill="0000FF"/>
          </w:tcPr>
          <w:p>
            <w:pPr>
              <w:spacing w:after="0" w:line="20" w:lineRule="exact"/>
              <w:rPr>
                <w:sz w:val="1"/>
                <w:szCs w:val="1"/>
                <w:color w:val="auto"/>
              </w:rPr>
            </w:pPr>
          </w:p>
        </w:tc>
        <w:tc>
          <w:tcPr>
            <w:tcW w:w="4880" w:type="dxa"/>
            <w:vAlign w:val="bottom"/>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LLC (incorporated by reference to Exhibit 1.1 to the Registrant’s Current Report on Form 8-K (File No. 001-</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38560) filed with the SEC on March 17, 2022).</w:t>
              </w:r>
            </w:hyperlink>
          </w:p>
        </w:tc>
        <w:tc>
          <w:tcPr>
            <w:tcW w:w="49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4"/>
                <w:szCs w:val="24"/>
                <w:color w:val="auto"/>
              </w:rPr>
            </w:pPr>
          </w:p>
        </w:tc>
        <w:tc>
          <w:tcPr>
            <w:tcW w:w="8360" w:type="dxa"/>
            <w:vAlign w:val="bottom"/>
            <w:gridSpan w:val="14"/>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Form of Restricted Stock Unit Award Agreement under the Aadi Bioscience, Inc. 2021 Equity Incentive Plan</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680" w:type="dxa"/>
            <w:vAlign w:val="bottom"/>
            <w:gridSpan w:val="1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(incorporated by reference to Exhibit 10.1 to the Registrant's Current Report on Form 8-K with the SEC on October</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2, 2023).</w:t>
              </w:r>
            </w:hyperlink>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ectPr>
          <w:pgSz w:w="11900" w:h="16838" w:orient="portrait"/>
          <w:cols w:equalWidth="0" w:num="1">
            <w:col w:w="10139"/>
          </w:cols>
          <w:pgMar w:left="320" w:top="108" w:right="1440" w:bottom="1440" w:gutter="0" w:footer="0" w:header="0"/>
        </w:sectPr>
      </w:pPr>
    </w:p>
    <w:p>
      <w:pPr>
        <w:ind w:left="300"/>
        <w:spacing w:after="0"/>
        <w:rPr>
          <w:sz w:val="20"/>
          <w:szCs w:val="20"/>
          <w:color w:val="auto"/>
        </w:rPr>
      </w:pPr>
      <w:r>
        <w:rPr>
          <w:rFonts w:ascii="Times New Roman" w:cs="Times New Roman" w:eastAsia="Times New Roman" w:hAnsi="Times New Roman"/>
          <w:sz w:val="18"/>
          <w:szCs w:val="18"/>
          <w:color w:val="auto"/>
        </w:rPr>
        <w:t>10.22#</w:t>
      </w:r>
    </w:p>
    <w:p>
      <w:pPr>
        <w:spacing w:after="0" w:line="200" w:lineRule="exact"/>
        <w:rPr>
          <w:sz w:val="20"/>
          <w:szCs w:val="20"/>
          <w:color w:val="auto"/>
        </w:rPr>
      </w:pP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10.23#</w:t>
      </w:r>
    </w:p>
    <w:p>
      <w:pPr>
        <w:spacing w:after="0" w:line="20" w:lineRule="exact"/>
        <w:rPr>
          <w:sz w:val="20"/>
          <w:szCs w:val="20"/>
          <w:color w:val="auto"/>
        </w:rPr>
      </w:pPr>
      <w:r>
        <w:rPr>
          <w:sz w:val="20"/>
          <w:szCs w:val="20"/>
          <w:color w:val="auto"/>
        </w:rPr>
        <w:br w:type="column"/>
      </w:r>
    </w:p>
    <w:p>
      <w:pPr>
        <w:jc w:val="both"/>
        <w:ind w:right="399"/>
        <w:spacing w:after="0" w:line="266" w:lineRule="auto"/>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18"/>
            <w:szCs w:val="18"/>
            <w:u w:val="single" w:color="auto"/>
            <w:color w:val="0000FF"/>
          </w:rPr>
          <w:t>Executive Employment Agreement, dated September 29, 2023, by and between David J. Lennon and Aadi</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Bioscience, Inc. (incorporated by reference to Exhibit 10.2 to the Registrant's Current Report on Form 8-K with the</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SEC on October 2, 2023).</w:t>
        </w:r>
      </w:hyperlink>
    </w:p>
    <w:p>
      <w:pPr>
        <w:spacing w:after="0" w:line="68" w:lineRule="exact"/>
        <w:rPr>
          <w:rFonts w:ascii="Times New Roman" w:cs="Times New Roman" w:eastAsia="Times New Roman" w:hAnsi="Times New Roman"/>
          <w:sz w:val="18"/>
          <w:szCs w:val="18"/>
          <w:u w:val="single" w:color="auto"/>
          <w:color w:val="0000FF"/>
        </w:rPr>
      </w:pPr>
    </w:p>
    <w:p>
      <w:pPr>
        <w:jc w:val="both"/>
        <w:ind w:right="419"/>
        <w:spacing w:after="0" w:line="282" w:lineRule="auto"/>
        <w:rPr>
          <w:rFonts w:ascii="Times New Roman" w:cs="Times New Roman" w:eastAsia="Times New Roman" w:hAnsi="Times New Roman"/>
          <w:sz w:val="18"/>
          <w:szCs w:val="18"/>
          <w:u w:val="single" w:color="auto"/>
          <w:color w:val="0000FF"/>
        </w:rPr>
      </w:pPr>
      <w:hyperlink r:id="rId216">
        <w:r>
          <w:rPr>
            <w:rFonts w:ascii="Times New Roman" w:cs="Times New Roman" w:eastAsia="Times New Roman" w:hAnsi="Times New Roman"/>
            <w:sz w:val="18"/>
            <w:szCs w:val="18"/>
            <w:u w:val="single" w:color="auto"/>
            <w:color w:val="0000FF"/>
          </w:rPr>
          <w:t>Aadi Bioscience, Inc. 2023 Inducement Equity Incentive Plan (incorporated by reference to Exhibit 10.3 to the</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Registrant's Current Report on Form 8-K with the SEC on October 2, 2023).</w:t>
        </w:r>
      </w:hyperlink>
    </w:p>
    <w:p>
      <w:pPr>
        <w:spacing w:after="0" w:line="200" w:lineRule="exact"/>
        <w:rPr>
          <w:sz w:val="20"/>
          <w:szCs w:val="20"/>
          <w:color w:val="auto"/>
        </w:rPr>
      </w:pPr>
    </w:p>
    <w:p>
      <w:pPr>
        <w:sectPr>
          <w:pgSz w:w="11900" w:h="16838" w:orient="portrait"/>
          <w:cols w:equalWidth="0" w:num="2">
            <w:col w:w="800" w:space="580"/>
            <w:col w:w="8759"/>
          </w:cols>
          <w:pgMar w:left="320" w:top="108"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680" w:hanging="1092"/>
        <w:spacing w:after="0" w:line="28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218">
        <w:r>
          <w:rPr>
            <w:rFonts w:ascii="Times New Roman" w:cs="Times New Roman" w:eastAsia="Times New Roman" w:hAnsi="Times New Roman"/>
            <w:sz w:val="18"/>
            <w:szCs w:val="18"/>
            <w:u w:val="single" w:color="auto"/>
            <w:color w:val="0000FF"/>
          </w:rPr>
          <w:t>Form of Aadi Bioscience, Inc. 2023 Inducement Equity Incentive Plan Stock Option Agreement (incorporated by</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reference to Exhibit 10.4 to the Registrant's Current Report on Form 8-K with the SEC on October 2, 2023).</w:t>
        </w:r>
      </w:hyperlink>
    </w:p>
    <w:p>
      <w:pPr>
        <w:sectPr>
          <w:pgSz w:w="11900" w:h="16838" w:orient="portrait"/>
          <w:cols w:equalWidth="0" w:num="1">
            <w:col w:w="10400"/>
          </w:cols>
          <w:pgMar w:left="320" w:top="121" w:right="1179" w:bottom="1440" w:gutter="0" w:footer="0" w:header="0"/>
        </w:sectPr>
      </w:pP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21.1*</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23.1*</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31.1*</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List of Subsidiaries of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BDO USA P.C.</w:t>
      </w:r>
    </w:p>
    <w:p>
      <w:pPr>
        <w:spacing w:after="0" w:line="11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40" w:lineRule="exact"/>
        <w:rPr>
          <w:sz w:val="20"/>
          <w:szCs w:val="20"/>
          <w:color w:val="auto"/>
        </w:rPr>
      </w:pPr>
    </w:p>
    <w:p>
      <w:pPr>
        <w:sectPr>
          <w:pgSz w:w="11900" w:h="16838" w:orient="portrait"/>
          <w:cols w:equalWidth="0" w:num="2">
            <w:col w:w="700" w:space="680"/>
            <w:col w:w="9020"/>
          </w:cols>
          <w:pgMar w:left="320" w:top="121" w:right="117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31.2*</w:t>
            </w:r>
          </w:p>
        </w:tc>
        <w:tc>
          <w:tcPr>
            <w:tcW w:w="8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9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Exchange Act of 1934, as Adopted Pursuant to Section 302 of the Sarbanes-Oxley Act of 2002.</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32.1**</w:t>
            </w:r>
          </w:p>
        </w:tc>
        <w:tc>
          <w:tcPr>
            <w:tcW w:w="8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8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0" w:type="dxa"/>
            <w:vAlign w:val="bottom"/>
          </w:tcPr>
          <w:p>
            <w:pPr>
              <w:spacing w:after="0"/>
              <w:rPr>
                <w:sz w:val="1"/>
                <w:szCs w:val="1"/>
                <w:color w:val="auto"/>
              </w:rPr>
            </w:pPr>
          </w:p>
        </w:tc>
      </w:tr>
      <w:tr>
        <w:trPr>
          <w:trHeight w:val="20"/>
        </w:trPr>
        <w:tc>
          <w:tcPr>
            <w:tcW w:w="13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32.2**</w:t>
            </w:r>
          </w:p>
        </w:tc>
        <w:tc>
          <w:tcPr>
            <w:tcW w:w="2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60" w:type="dxa"/>
            <w:vAlign w:val="bottom"/>
            <w:vMerge w:val="continue"/>
          </w:tcPr>
          <w:p>
            <w:pPr>
              <w:spacing w:after="0"/>
              <w:rPr>
                <w:sz w:val="24"/>
                <w:szCs w:val="24"/>
                <w:color w:val="auto"/>
              </w:rPr>
            </w:pPr>
          </w:p>
        </w:tc>
        <w:tc>
          <w:tcPr>
            <w:tcW w:w="8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8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0" w:type="dxa"/>
            <w:vAlign w:val="bottom"/>
          </w:tcPr>
          <w:p>
            <w:pPr>
              <w:spacing w:after="0"/>
              <w:rPr>
                <w:sz w:val="1"/>
                <w:szCs w:val="1"/>
                <w:color w:val="auto"/>
              </w:rPr>
            </w:pPr>
          </w:p>
        </w:tc>
      </w:tr>
      <w:tr>
        <w:trPr>
          <w:trHeight w:val="20"/>
        </w:trPr>
        <w:tc>
          <w:tcPr>
            <w:tcW w:w="13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97.1*</w:t>
            </w:r>
          </w:p>
        </w:tc>
        <w:tc>
          <w:tcPr>
            <w:tcW w:w="2560" w:type="dxa"/>
            <w:vAlign w:val="bottom"/>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60" w:type="dxa"/>
            <w:vAlign w:val="bottom"/>
            <w:vMerge w:val="continue"/>
          </w:tcPr>
          <w:p>
            <w:pPr>
              <w:spacing w:after="0"/>
              <w:rPr>
                <w:sz w:val="24"/>
                <w:szCs w:val="24"/>
                <w:color w:val="auto"/>
              </w:rPr>
            </w:pPr>
          </w:p>
        </w:tc>
        <w:tc>
          <w:tcPr>
            <w:tcW w:w="83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Aadi Bioscience, Inc. Compensation Recovery Policy</w:t>
            </w:r>
          </w:p>
        </w:tc>
        <w:tc>
          <w:tcPr>
            <w:tcW w:w="0" w:type="dxa"/>
            <w:vAlign w:val="bottom"/>
          </w:tcPr>
          <w:p>
            <w:pPr>
              <w:spacing w:after="0"/>
              <w:rPr>
                <w:sz w:val="1"/>
                <w:szCs w:val="1"/>
                <w:color w:val="auto"/>
              </w:rPr>
            </w:pPr>
          </w:p>
        </w:tc>
      </w:tr>
      <w:tr>
        <w:trPr>
          <w:trHeight w:val="33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8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IXBRL Inline Instance Document</w:t>
            </w:r>
          </w:p>
        </w:tc>
        <w:tc>
          <w:tcPr>
            <w:tcW w:w="44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IXBRL Inline Taxonomy Extension Schema Document</w:t>
            </w:r>
          </w:p>
        </w:tc>
        <w:tc>
          <w:tcPr>
            <w:tcW w:w="0" w:type="dxa"/>
            <w:vAlign w:val="bottom"/>
          </w:tcPr>
          <w:p>
            <w:pPr>
              <w:spacing w:after="0"/>
              <w:rPr>
                <w:sz w:val="1"/>
                <w:szCs w:val="1"/>
                <w:color w:val="auto"/>
              </w:rPr>
            </w:pPr>
          </w:p>
        </w:tc>
      </w:tr>
      <w:tr>
        <w:trPr>
          <w:trHeight w:val="28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IXBRL Inline Taxonomy Extension Calculation Linkbase Document</w:t>
            </w:r>
          </w:p>
        </w:tc>
        <w:tc>
          <w:tcPr>
            <w:tcW w:w="0" w:type="dxa"/>
            <w:vAlign w:val="bottom"/>
          </w:tcPr>
          <w:p>
            <w:pPr>
              <w:spacing w:after="0"/>
              <w:rPr>
                <w:sz w:val="1"/>
                <w:szCs w:val="1"/>
                <w:color w:val="auto"/>
              </w:rPr>
            </w:pPr>
          </w:p>
        </w:tc>
      </w:tr>
      <w:tr>
        <w:trPr>
          <w:trHeight w:val="28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IXBRL Inline Taxonomy Extension Definition Linkbase Document</w:t>
            </w:r>
          </w:p>
        </w:tc>
        <w:tc>
          <w:tcPr>
            <w:tcW w:w="0" w:type="dxa"/>
            <w:vAlign w:val="bottom"/>
          </w:tcPr>
          <w:p>
            <w:pPr>
              <w:spacing w:after="0"/>
              <w:rPr>
                <w:sz w:val="1"/>
                <w:szCs w:val="1"/>
                <w:color w:val="auto"/>
              </w:rPr>
            </w:pPr>
          </w:p>
        </w:tc>
      </w:tr>
      <w:tr>
        <w:trPr>
          <w:trHeight w:val="28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IXBRL Inline Taxonomy Extension Label Linkbase Document</w:t>
            </w:r>
          </w:p>
        </w:tc>
        <w:tc>
          <w:tcPr>
            <w:tcW w:w="0" w:type="dxa"/>
            <w:vAlign w:val="bottom"/>
          </w:tcPr>
          <w:p>
            <w:pPr>
              <w:spacing w:after="0"/>
              <w:rPr>
                <w:sz w:val="1"/>
                <w:szCs w:val="1"/>
                <w:color w:val="auto"/>
              </w:rPr>
            </w:pPr>
          </w:p>
        </w:tc>
      </w:tr>
      <w:tr>
        <w:trPr>
          <w:trHeight w:val="28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IXBRL Inline Taxonomy Extension Presentation Linkbase Document</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380" w:right="1120" w:hanging="1354"/>
        <w:spacing w:after="0" w:line="282" w:lineRule="auto"/>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the exhibit is being furnished, not filed, with this report</w:t>
      </w:r>
    </w:p>
    <w:p>
      <w:pPr>
        <w:spacing w:after="0" w:line="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a management contract or any compensatory plan, contract or arrangement.</w:t>
      </w:r>
    </w:p>
    <w:p>
      <w:pPr>
        <w:spacing w:after="0" w:line="9" w:lineRule="exact"/>
        <w:rPr>
          <w:sz w:val="20"/>
          <w:szCs w:val="20"/>
          <w:color w:val="auto"/>
        </w:rPr>
      </w:pPr>
    </w:p>
    <w:p>
      <w:pPr>
        <w:ind w:left="280" w:hanging="272"/>
        <w:spacing w:after="0"/>
        <w:tabs>
          <w:tab w:leader="none" w:pos="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 S-K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of 10-K Summary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voluntarily include a summary of information required by Form 10-K under this Item 16. We have elected not to include such summary information.</w:t>
      </w:r>
    </w:p>
    <w:p>
      <w:pPr>
        <w:spacing w:after="0" w:line="200" w:lineRule="exact"/>
        <w:rPr>
          <w:sz w:val="20"/>
          <w:szCs w:val="20"/>
          <w:color w:val="auto"/>
        </w:rPr>
      </w:pPr>
    </w:p>
    <w:p>
      <w:pPr>
        <w:spacing w:after="0" w:line="34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21" w:right="117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9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AADI BIOSCIENCE, INC.</w:t>
      </w:r>
    </w:p>
    <w:p>
      <w:pPr>
        <w:spacing w:after="0" w:line="291" w:lineRule="exact"/>
        <w:rPr>
          <w:sz w:val="20"/>
          <w:szCs w:val="20"/>
          <w:color w:val="auto"/>
        </w:rPr>
      </w:pPr>
    </w:p>
    <w:p>
      <w:pPr>
        <w:ind w:left="20"/>
        <w:spacing w:after="0"/>
        <w:tabs>
          <w:tab w:leader="none" w:pos="6020" w:val="left"/>
          <w:tab w:leader="none" w:pos="8140" w:val="left"/>
        </w:tabs>
        <w:rPr>
          <w:sz w:val="20"/>
          <w:szCs w:val="20"/>
          <w:color w:val="auto"/>
        </w:rPr>
      </w:pPr>
      <w:r>
        <w:rPr>
          <w:rFonts w:ascii="Times New Roman" w:cs="Times New Roman" w:eastAsia="Times New Roman" w:hAnsi="Times New Roman"/>
          <w:sz w:val="18"/>
          <w:szCs w:val="18"/>
          <w:color w:val="auto"/>
        </w:rPr>
        <w:t>Date: March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David J. Lennon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18415</wp:posOffset>
            </wp:positionV>
            <wp:extent cx="302577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0">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14"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David J. Lennon, Ph.D.</w:t>
      </w:r>
    </w:p>
    <w:p>
      <w:pPr>
        <w:spacing w:after="0" w:line="15"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ind w:left="78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David J. Lennon, Ph.D., Scott Giacobello and Stephen Rodin, and each of them, as his or her true and lawful attorney-in-fact and agent with full power of substitution and resubstitution,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or her substitute, may lawfully do or cause to be done by virtue hereof.</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by the following persons on behalf of the Registrant and in the capacities and on the dates indicated.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Chief Executive Officer and President and</w:t>
            </w:r>
          </w:p>
        </w:tc>
        <w:tc>
          <w:tcPr>
            <w:tcW w:w="3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David J. Lennon</w:t>
            </w:r>
          </w:p>
        </w:tc>
        <w:tc>
          <w:tcPr>
            <w:tcW w:w="100" w:type="dxa"/>
            <w:vAlign w:val="bottom"/>
          </w:tcPr>
          <w:p>
            <w:pPr>
              <w:spacing w:after="0"/>
              <w:rPr>
                <w:sz w:val="16"/>
                <w:szCs w:val="16"/>
                <w:color w:val="auto"/>
              </w:rPr>
            </w:pPr>
          </w:p>
        </w:tc>
        <w:tc>
          <w:tcPr>
            <w:tcW w:w="376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6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c>
          <w:tcPr>
            <w:tcW w:w="0" w:type="dxa"/>
            <w:vAlign w:val="bottom"/>
          </w:tcPr>
          <w:p>
            <w:pPr>
              <w:spacing w:after="0"/>
              <w:rPr>
                <w:sz w:val="1"/>
                <w:szCs w:val="1"/>
                <w:color w:val="auto"/>
              </w:rPr>
            </w:pPr>
          </w:p>
        </w:tc>
      </w:tr>
      <w:tr>
        <w:trPr>
          <w:trHeight w:val="232"/>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David J. Lennon, Ph.D.</w:t>
            </w:r>
          </w:p>
        </w:tc>
        <w:tc>
          <w:tcPr>
            <w:tcW w:w="1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Scott Giacobello</w:t>
            </w:r>
          </w:p>
        </w:tc>
        <w:tc>
          <w:tcPr>
            <w:tcW w:w="100" w:type="dxa"/>
            <w:vAlign w:val="bottom"/>
          </w:tcPr>
          <w:p>
            <w:pPr>
              <w:spacing w:after="0"/>
              <w:rPr>
                <w:sz w:val="24"/>
                <w:szCs w:val="24"/>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c>
          <w:tcPr>
            <w:tcW w:w="0" w:type="dxa"/>
            <w:vAlign w:val="bottom"/>
          </w:tcPr>
          <w:p>
            <w:pPr>
              <w:spacing w:after="0"/>
              <w:rPr>
                <w:sz w:val="1"/>
                <w:szCs w:val="1"/>
                <w:color w:val="auto"/>
              </w:rPr>
            </w:pPr>
          </w:p>
        </w:tc>
      </w:tr>
      <w:tr>
        <w:trPr>
          <w:trHeight w:val="54"/>
        </w:trPr>
        <w:tc>
          <w:tcPr>
            <w:tcW w:w="36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3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Scott Giacobello</w:t>
            </w:r>
          </w:p>
        </w:tc>
        <w:tc>
          <w:tcPr>
            <w:tcW w:w="100" w:type="dxa"/>
            <w:vAlign w:val="bottom"/>
            <w:vMerge w:val="continue"/>
          </w:tcPr>
          <w:p>
            <w:pPr>
              <w:spacing w:after="0"/>
              <w:rPr>
                <w:sz w:val="13"/>
                <w:szCs w:val="13"/>
                <w:color w:val="auto"/>
              </w:rPr>
            </w:pPr>
          </w:p>
        </w:tc>
        <w:tc>
          <w:tcPr>
            <w:tcW w:w="3760" w:type="dxa"/>
            <w:vAlign w:val="bottom"/>
            <w:gridSpan w:val="2"/>
            <w:vMerge w:val="continue"/>
          </w:tcPr>
          <w:p>
            <w:pPr>
              <w:spacing w:after="0"/>
              <w:rPr>
                <w:sz w:val="13"/>
                <w:szCs w:val="13"/>
                <w:color w:val="auto"/>
              </w:rPr>
            </w:pP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3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Caley Castelein</w:t>
            </w:r>
          </w:p>
        </w:tc>
        <w:tc>
          <w:tcPr>
            <w:tcW w:w="100" w:type="dxa"/>
            <w:vAlign w:val="bottom"/>
          </w:tcPr>
          <w:p>
            <w:pPr>
              <w:spacing w:after="0"/>
              <w:rPr>
                <w:sz w:val="24"/>
                <w:szCs w:val="24"/>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Chairman</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c>
          <w:tcPr>
            <w:tcW w:w="0" w:type="dxa"/>
            <w:vAlign w:val="bottom"/>
          </w:tcPr>
          <w:p>
            <w:pPr>
              <w:spacing w:after="0"/>
              <w:rPr>
                <w:sz w:val="1"/>
                <w:szCs w:val="1"/>
                <w:color w:val="auto"/>
              </w:rPr>
            </w:pPr>
          </w:p>
        </w:tc>
      </w:tr>
      <w:tr>
        <w:trPr>
          <w:trHeight w:val="232"/>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Caley Castelein, M.D.</w:t>
            </w:r>
          </w:p>
        </w:tc>
        <w:tc>
          <w:tcPr>
            <w:tcW w:w="1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Behzad Aghazadeh</w:t>
            </w:r>
          </w:p>
        </w:tc>
        <w:tc>
          <w:tcPr>
            <w:tcW w:w="10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c>
          <w:tcPr>
            <w:tcW w:w="0" w:type="dxa"/>
            <w:vAlign w:val="bottom"/>
          </w:tcPr>
          <w:p>
            <w:pPr>
              <w:spacing w:after="0"/>
              <w:rPr>
                <w:sz w:val="1"/>
                <w:szCs w:val="1"/>
                <w:color w:val="auto"/>
              </w:rPr>
            </w:pPr>
          </w:p>
        </w:tc>
      </w:tr>
      <w:tr>
        <w:trPr>
          <w:trHeight w:val="232"/>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Behzad Aghazadeh, Ph.D.</w:t>
            </w:r>
          </w:p>
        </w:tc>
        <w:tc>
          <w:tcPr>
            <w:tcW w:w="1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Anupam Dalal</w:t>
            </w:r>
          </w:p>
        </w:tc>
        <w:tc>
          <w:tcPr>
            <w:tcW w:w="10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c>
          <w:tcPr>
            <w:tcW w:w="0" w:type="dxa"/>
            <w:vAlign w:val="bottom"/>
          </w:tcPr>
          <w:p>
            <w:pPr>
              <w:spacing w:after="0"/>
              <w:rPr>
                <w:sz w:val="1"/>
                <w:szCs w:val="1"/>
                <w:color w:val="auto"/>
              </w:rPr>
            </w:pPr>
          </w:p>
        </w:tc>
      </w:tr>
      <w:tr>
        <w:trPr>
          <w:trHeight w:val="232"/>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Anupam Dalal, M.D.</w:t>
            </w:r>
          </w:p>
        </w:tc>
        <w:tc>
          <w:tcPr>
            <w:tcW w:w="1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Neil Desai</w:t>
            </w:r>
          </w:p>
        </w:tc>
        <w:tc>
          <w:tcPr>
            <w:tcW w:w="100" w:type="dxa"/>
            <w:vAlign w:val="bottom"/>
          </w:tcPr>
          <w:p>
            <w:pPr>
              <w:spacing w:after="0"/>
              <w:rPr>
                <w:sz w:val="24"/>
                <w:szCs w:val="24"/>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Director; Executive Chairman</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c>
          <w:tcPr>
            <w:tcW w:w="0" w:type="dxa"/>
            <w:vAlign w:val="bottom"/>
          </w:tcPr>
          <w:p>
            <w:pPr>
              <w:spacing w:after="0"/>
              <w:rPr>
                <w:sz w:val="1"/>
                <w:szCs w:val="1"/>
                <w:color w:val="auto"/>
              </w:rPr>
            </w:pPr>
          </w:p>
        </w:tc>
      </w:tr>
      <w:tr>
        <w:trPr>
          <w:trHeight w:val="232"/>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Neil Desai, Ph.D.</w:t>
            </w:r>
          </w:p>
        </w:tc>
        <w:tc>
          <w:tcPr>
            <w:tcW w:w="1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Karin Hehenberger</w:t>
            </w:r>
          </w:p>
        </w:tc>
        <w:tc>
          <w:tcPr>
            <w:tcW w:w="10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c>
          <w:tcPr>
            <w:tcW w:w="0" w:type="dxa"/>
            <w:vAlign w:val="bottom"/>
          </w:tcPr>
          <w:p>
            <w:pPr>
              <w:spacing w:after="0"/>
              <w:rPr>
                <w:sz w:val="1"/>
                <w:szCs w:val="1"/>
                <w:color w:val="auto"/>
              </w:rPr>
            </w:pPr>
          </w:p>
        </w:tc>
      </w:tr>
      <w:tr>
        <w:trPr>
          <w:trHeight w:val="232"/>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Karin Hehenberger, M.D., Ph.D.</w:t>
            </w:r>
          </w:p>
        </w:tc>
        <w:tc>
          <w:tcPr>
            <w:tcW w:w="1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Mohammad Hirmand</w:t>
            </w:r>
          </w:p>
        </w:tc>
        <w:tc>
          <w:tcPr>
            <w:tcW w:w="10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c>
          <w:tcPr>
            <w:tcW w:w="0" w:type="dxa"/>
            <w:vAlign w:val="bottom"/>
          </w:tcPr>
          <w:p>
            <w:pPr>
              <w:spacing w:after="0"/>
              <w:rPr>
                <w:sz w:val="1"/>
                <w:szCs w:val="1"/>
                <w:color w:val="auto"/>
              </w:rPr>
            </w:pPr>
          </w:p>
        </w:tc>
      </w:tr>
      <w:tr>
        <w:trPr>
          <w:trHeight w:val="232"/>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Mohammad Hirmand, M.D.</w:t>
            </w:r>
          </w:p>
        </w:tc>
        <w:tc>
          <w:tcPr>
            <w:tcW w:w="1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Richard Maroun</w:t>
            </w:r>
          </w:p>
        </w:tc>
        <w:tc>
          <w:tcPr>
            <w:tcW w:w="10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c>
          <w:tcPr>
            <w:tcW w:w="0" w:type="dxa"/>
            <w:vAlign w:val="bottom"/>
          </w:tcPr>
          <w:p>
            <w:pPr>
              <w:spacing w:after="0"/>
              <w:rPr>
                <w:sz w:val="1"/>
                <w:szCs w:val="1"/>
                <w:color w:val="auto"/>
              </w:rPr>
            </w:pPr>
          </w:p>
        </w:tc>
      </w:tr>
      <w:tr>
        <w:trPr>
          <w:trHeight w:val="232"/>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Richard Maroun, J.D.</w:t>
            </w:r>
          </w:p>
        </w:tc>
        <w:tc>
          <w:tcPr>
            <w:tcW w:w="1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Emma Reeve</w:t>
            </w:r>
          </w:p>
        </w:tc>
        <w:tc>
          <w:tcPr>
            <w:tcW w:w="10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c>
          <w:tcPr>
            <w:tcW w:w="0" w:type="dxa"/>
            <w:vAlign w:val="bottom"/>
          </w:tcPr>
          <w:p>
            <w:pPr>
              <w:spacing w:after="0"/>
              <w:rPr>
                <w:sz w:val="1"/>
                <w:szCs w:val="1"/>
                <w:color w:val="auto"/>
              </w:rPr>
            </w:pPr>
          </w:p>
        </w:tc>
      </w:tr>
      <w:tr>
        <w:trPr>
          <w:trHeight w:val="232"/>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Emma Reeve</w:t>
            </w:r>
          </w:p>
        </w:tc>
        <w:tc>
          <w:tcPr>
            <w:tcW w:w="1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6"/>
        </w:trPr>
        <w:tc>
          <w:tcPr>
            <w:tcW w:w="3680" w:type="dxa"/>
            <w:vAlign w:val="bottom"/>
          </w:tcPr>
          <w:p>
            <w:pPr>
              <w:spacing w:after="0"/>
              <w:rPr>
                <w:sz w:val="24"/>
                <w:szCs w:val="24"/>
                <w:color w:val="auto"/>
              </w:rPr>
            </w:pPr>
          </w:p>
        </w:tc>
        <w:tc>
          <w:tcPr>
            <w:tcW w:w="3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jc w:val="center"/>
        <w:spacing w:after="0" w:line="235" w:lineRule="auto"/>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jc w:val="center"/>
        <w:spacing w:after="0" w:line="235" w:lineRule="auto"/>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ACT OF 1934, AS AMENDED</w:t>
      </w:r>
    </w:p>
    <w:p>
      <w:pPr>
        <w:spacing w:after="0" w:line="21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common stock, par value $0.0001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Aadi Bioscience,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is registered under Section 12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following description sets forth certain general terms and provisions of our Common Stock. These descriptions are in all respects subject to and qualified in their entirety by, and should be read in conjunction with, the applicable provisions of, our Amended and Restated Certificate of Incorporation,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and our Amended and Restated By-laws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xml:space="preserve"> ”) (each of which is incorporated herein by reference and copies of which are incorporated by reference as exhibits to our most recent Annual Report on Form 10-K filed with the Securities and Exchange Commission) and the applicable provisions of the Delaware General Corporation Law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300,000,000 shares of Common Stock and 10,000,000 shares of undesignated preferred stock, par value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outstanding shares of Common Stock are entitled to receive dividends out of assets or funds legally available for the payment of dividends of such times and in such amounts as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from time to time may determine.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There is no cumulative voting of the election of directors then standing for election.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 on Liquidation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liquidation, dissolution or winding up of the Company, the assets legally available for distribution to stockholders are distributable ratably among the holders of our Common Stock after payment of liquidation preferences, if any, on any outstanding payment of other claims of creditors. Each outstanding share of Common Stock is duly and validly issued, fully paid and non-assessable.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Rights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or redemption.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Relationship to Preferred Stock</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Shares of Preferred Stock may be issued from time to time in one or more series, each of which will have such distinctive designation or title as shall be determined by our board of directors prior to the issuance of any shares thereof. Preferred Stock will have such voting powers, full or limited, or no voting powers, and such preferences and relative, participating, optional or other special rights and such qualifications, limitations or restrictions thereof, as shall be stated in such resolution or resolutions providing for the issue of such class or series of Preferred Stock as may be adopted from time to time by the board of directors prior to the issuance of any shares thereof. Subject to the terms of any Preferred Stock designation that we may adopt from time to time, the Board is further authorized to increase (but not above the total number of authorized shares of the class) or decrease (but not below the number of shares of any such series then outstanding) the number of shares of any series, subject to the powers, preferences and rights, and the qualifications, limitations and restrictions thereof stated in the Charter or the resolution of the Board originally fixing the number of shares of such series. Except as may be otherwise specified by the terms of any series of Preferred Stock, if the number of shares of any series of Preferred Stock is so decreased, then the Company shall take all such steps as are necessary to cause the shares constituting such decrease to resume the status which they had prior to the adoption of the resolution originally fixing the number of shares of such series.</w:t>
      </w:r>
    </w:p>
    <w:p>
      <w:pPr>
        <w:sectPr>
          <w:pgSz w:w="11900" w:h="16838" w:orient="portrait"/>
          <w:cols w:equalWidth="0" w:num="1">
            <w:col w:w="11240"/>
          </w:cols>
          <w:pgMar w:left="320" w:top="1409" w:right="339" w:bottom="1440" w:gutter="0" w:footer="0" w:header="0"/>
        </w:sectPr>
      </w:pPr>
    </w:p>
    <w:bookmarkStart w:id="149" w:name="page150"/>
    <w:bookmarkEnd w:id="149"/>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do not currently have any plans for the issuance of Preferred Stock, the issuance of such Preferred Stock could adversely affect the rights of the holders of common stock and, therefore, reduce the value of the common stock. It is not possible to state the actual effect of the issuance of any shares of Preferred Stock on the rights of holders of the common stock until the Board determines the specific rights of the holders of the Preferred Stock; however, these effects may include:</w:t>
      </w:r>
    </w:p>
    <w:p>
      <w:pPr>
        <w:spacing w:after="0" w:line="112" w:lineRule="exact"/>
        <w:rPr>
          <w:sz w:val="20"/>
          <w:szCs w:val="20"/>
          <w:color w:val="auto"/>
        </w:rPr>
      </w:pPr>
    </w:p>
    <w:p>
      <w:pPr>
        <w:ind w:left="1020" w:hanging="522"/>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dividends on the common stock;</w:t>
      </w:r>
    </w:p>
    <w:p>
      <w:pPr>
        <w:spacing w:after="0" w:line="49" w:lineRule="exact"/>
        <w:rPr>
          <w:rFonts w:ascii="Times New Roman" w:cs="Times New Roman" w:eastAsia="Times New Roman" w:hAnsi="Times New Roman"/>
          <w:sz w:val="18"/>
          <w:szCs w:val="18"/>
          <w:color w:val="auto"/>
        </w:rPr>
      </w:pPr>
    </w:p>
    <w:p>
      <w:pPr>
        <w:ind w:left="1020" w:hanging="522"/>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voting power of the common stock;</w:t>
      </w:r>
    </w:p>
    <w:p>
      <w:pPr>
        <w:spacing w:after="0" w:line="49" w:lineRule="exact"/>
        <w:rPr>
          <w:rFonts w:ascii="Times New Roman" w:cs="Times New Roman" w:eastAsia="Times New Roman" w:hAnsi="Times New Roman"/>
          <w:sz w:val="18"/>
          <w:szCs w:val="18"/>
          <w:color w:val="auto"/>
        </w:rPr>
      </w:pPr>
    </w:p>
    <w:p>
      <w:pPr>
        <w:ind w:left="1020" w:hanging="522"/>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liquidation rights of the common stock; or</w:t>
      </w:r>
    </w:p>
    <w:p>
      <w:pPr>
        <w:spacing w:after="0" w:line="49" w:lineRule="exact"/>
        <w:rPr>
          <w:rFonts w:ascii="Times New Roman" w:cs="Times New Roman" w:eastAsia="Times New Roman" w:hAnsi="Times New Roman"/>
          <w:sz w:val="18"/>
          <w:szCs w:val="18"/>
          <w:color w:val="auto"/>
        </w:rPr>
      </w:pPr>
    </w:p>
    <w:p>
      <w:pPr>
        <w:ind w:left="1020" w:hanging="522"/>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or preventing a change in control of our company without further action by the stockholders.</w:t>
      </w:r>
    </w:p>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than in connection with shares of Preferred Stock (as explained above), which Preferred Stock is not currently designated nor contemplated by the Company, the Company does not believe that any provision of its Charter or Bylaws would delay, defer or prevent a change in control.</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shares of Preferred Stock are issued and outstanding as of the date of our Annual Report on Form 10-K with which this Exhibit 4.1 is filed as an exhibit or incorporated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10, 2024, the Company had 2,426,493 pre-funded warrants to purchase up to 2,426,493 shares of its 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their original issuance. The pre-funded warrants will be exercisable, at the option of each holder, in whole or in part by delivering to the Company a duly executed exercise notice and by payment in full in immediately available funds for the number of shares of Common Stock purchased upon such exercise. As an alternative to payment in immediately available funds, the holder may, in its sole discretion, elect to exercise the warrant through a cashless exercise, in which case the holder would receive upon such exercise the net number of shares of Common Stock determined according to the formula set forth in the pre-funded warrant. No fractional Common Stock will be issued in connection with the exercise of a pre-funded warrant. In lieu of fractional shares, the Company will pay the holder an amount in cash equal to the fractional amount multiplied by the fair market value of any fractional shares.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Limitations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pre-funded warrants, the Company may not effect the exercise of any pre-funded warrant, and a holder will not be entitled to exercise any portion of any pre-funded warrant, which, upon giving effect to such exercise, would cause the aggregate number of shares of Common Stock beneficially owned by the holder (together with its affiliates) to exceed 4.99% of the number of shares of Common Stock outstanding immediately after giving effect to the exercise. However, any holder may increase or decrease such percentage to any other percentage not in excess of 19.99% upon at least 61 days’ prior notice from the holder to the Company.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Price</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exercise price per whole Common Stock purchasable upon the exercise of the pre-funded warrants is $0.0001 per warrant share. The exercise price of the pre-funded warrants is subject to appropriate adjustment in the event of certain share dividends and distributions, stock splits, stock combinations, reclassifications or similar events affecting the Company’s Common Stock.</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Charter and Bylaws and Delaware Law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and our Charter and Bylaws may have an anti-takeover effect, for example, by permitting issuances that would dilute the stock ownership of a person seeking to effect a change in the composition of the Board or contemplating a tender offer or other transaction for the combination of the Company with another company. It is possible that these provisions could make it more difficult to accomplish or could deter transactions that stockholders may otherwise consider to be in their best interest or in our best interests, including transactions that might result in a premium over the price of our Common Stock.</w:t>
      </w:r>
    </w:p>
    <w:p>
      <w:pPr>
        <w:sectPr>
          <w:pgSz w:w="11900" w:h="16838" w:orient="portrait"/>
          <w:cols w:equalWidth="0" w:num="1">
            <w:col w:w="11240"/>
          </w:cols>
          <w:pgMar w:left="320" w:top="1440" w:right="339" w:bottom="1440" w:gutter="0" w:footer="0" w:header="0"/>
        </w:sectPr>
      </w:pPr>
    </w:p>
    <w:bookmarkStart w:id="150" w:name="page151"/>
    <w:bookmarkEnd w:id="150"/>
    <w:p>
      <w:pPr>
        <w:jc w:val="both"/>
        <w:spacing w:after="0" w:line="245"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Anti-Takeover Statute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Section 203 of the DGCL, which prohibits a person deemed an “interested stockholder” from engaging in a “business combination” with a publicly held Delaware corporation for three years following the date such person becomes an interested stockholder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such as discouraging takeover attempts that might result in a premium over the price of our Common Stock.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Undesignated Preferred Stock</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our company. These and other provisions may have the effect of deterring hostile takeovers or delaying changes in control or management of our company.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Stockholder Meetings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Charter provides that a special meeting of stockholders may be called only the chairperson of the Board, the chief executive officer of the Company, the president of the Company or the Board acting pursuant to a resolution adopted by a majority of the total number of authorized directorships, whether or not there exist any vacancies or other unfilled seats in previously authorized directorships.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Nominations and Proposals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stockholder proposals and the nomination of candidates for election as directors, other than nominations made by or at the direction of the Board or a committee of the Board.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Elimination of Stockholder Action by Written Consent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eliminates the right of stockholders to act by written consent without a meeting.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Classified Board; Election and Removal of Directors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our Common Stock outstanding will be able to elect all of our directors.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Bylaws provides that, unless we consent in writing to the selection of an alternative forum, the Court of Chancery of the State of Delaware (or, if the Court of Chancery does not have jurisdiction, then the United States District Court for the District of Delaware) will be the exclusive forum for any derivative action or proceeding brought on our behalf; any action asserting a breach of fiduciary duty; any action asserting a claim against us arising</w:t>
      </w:r>
    </w:p>
    <w:p>
      <w:pPr>
        <w:sectPr>
          <w:pgSz w:w="11900" w:h="16838" w:orient="portrait"/>
          <w:cols w:equalWidth="0" w:num="1">
            <w:col w:w="11240"/>
          </w:cols>
          <w:pgMar w:left="320" w:top="1404" w:right="339" w:bottom="1440" w:gutter="0" w:footer="0" w:header="0"/>
        </w:sectPr>
      </w:pPr>
    </w:p>
    <w:bookmarkStart w:id="151" w:name="page152"/>
    <w:bookmarkEnd w:id="151"/>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DGCL or our Charter or Bylaws; or any action asserting a claim against us that is governed by the internal affairs doctrine (the “</w:t>
      </w: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Forum Provision</w:t>
      </w:r>
      <w:r>
        <w:rPr>
          <w:rFonts w:ascii="Times New Roman" w:cs="Times New Roman" w:eastAsia="Times New Roman" w:hAnsi="Times New Roman"/>
          <w:sz w:val="18"/>
          <w:szCs w:val="18"/>
          <w:color w:val="auto"/>
        </w:rPr>
        <w:t>”). In addition, unless we consent in writing to the selection of an alternative forum, the federal district courts of the United States of America shall be the sole and exclusive forum for the resolution of any complaint asserting a cause of action arising under the Securities Act against any person in connection with any offering of our securities, including, without limitation and for the avoidance of doubt, any auditor, underwriter, expert, control person or other defendant.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provisions of the DGCL, our Charter and our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American Stock Transfer &amp; Trust Company, LLC. The transfer agent and registrar’s address is 6201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Avenue, Brooklyn, NY 11219, and its telephone number is (718) 921-8260.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“AADI.”</w:t>
      </w:r>
    </w:p>
    <w:p>
      <w:pPr>
        <w:sectPr>
          <w:pgSz w:w="11900" w:h="16838" w:orient="portrait"/>
          <w:cols w:equalWidth="0" w:num="1">
            <w:col w:w="11240"/>
          </w:cols>
          <w:pgMar w:left="320" w:top="1440" w:right="339" w:bottom="1440" w:gutter="0" w:footer="0" w:header="0"/>
        </w:sectPr>
      </w:pPr>
    </w:p>
    <w:bookmarkStart w:id="152" w:name="page153"/>
    <w:bookmarkEnd w:id="152"/>
    <w:p>
      <w:pPr>
        <w:ind w:left="10220"/>
        <w:spacing w:after="0"/>
        <w:rPr>
          <w:sz w:val="20"/>
          <w:szCs w:val="20"/>
          <w:color w:val="auto"/>
        </w:rPr>
      </w:pPr>
      <w:r>
        <w:rPr>
          <w:rFonts w:ascii="Times New Roman" w:cs="Times New Roman" w:eastAsia="Times New Roman" w:hAnsi="Times New Roman"/>
          <w:sz w:val="20"/>
          <w:szCs w:val="20"/>
          <w:b w:val="1"/>
          <w:bCs w:val="1"/>
          <w:color w:val="auto"/>
        </w:rPr>
        <w:t>Exhibit 21.1</w:t>
      </w:r>
    </w:p>
    <w:tbl>
      <w:tblPr>
        <w:tblLayout w:type="fixed"/>
        <w:tblInd w:w="10" w:type="dxa"/>
        <w:tblCellMar>
          <w:top w:w="0" w:type="dxa"/>
          <w:left w:w="0" w:type="dxa"/>
          <w:bottom w:w="0" w:type="dxa"/>
          <w:right w:w="0" w:type="dxa"/>
        </w:tblCellMar>
      </w:tblPr>
      <w:tr>
        <w:trPr>
          <w:trHeight w:val="202"/>
        </w:trPr>
        <w:tc>
          <w:tcPr>
            <w:tcW w:w="4100" w:type="dxa"/>
            <w:vAlign w:val="bottom"/>
          </w:tcPr>
          <w:p>
            <w:pPr>
              <w:spacing w:after="0"/>
              <w:rPr>
                <w:sz w:val="17"/>
                <w:szCs w:val="17"/>
                <w:color w:val="auto"/>
              </w:rPr>
            </w:pPr>
          </w:p>
        </w:tc>
        <w:tc>
          <w:tcPr>
            <w:tcW w:w="3060" w:type="dxa"/>
            <w:vAlign w:val="bottom"/>
            <w:tcBorders>
              <w:bottom w:val="single" w:sz="8" w:color="auto"/>
            </w:tcBorders>
            <w:gridSpan w:val="2"/>
          </w:tcPr>
          <w:p>
            <w:pPr>
              <w:jc w:val="center"/>
              <w:spacing w:after="0" w:line="202" w:lineRule="exact"/>
              <w:rPr>
                <w:sz w:val="20"/>
                <w:szCs w:val="20"/>
                <w:color w:val="auto"/>
              </w:rPr>
            </w:pPr>
            <w:r>
              <w:rPr>
                <w:rFonts w:ascii="Times New Roman" w:cs="Times New Roman" w:eastAsia="Times New Roman" w:hAnsi="Times New Roman"/>
                <w:sz w:val="20"/>
                <w:szCs w:val="20"/>
                <w:b w:val="1"/>
                <w:bCs w:val="1"/>
                <w:color w:val="auto"/>
                <w:w w:val="99"/>
              </w:rPr>
              <w:t>Subsidiaries of Aadi Bioscience, Inc.</w:t>
            </w:r>
          </w:p>
        </w:tc>
        <w:tc>
          <w:tcPr>
            <w:tcW w:w="4100" w:type="dxa"/>
            <w:vAlign w:val="bottom"/>
          </w:tcPr>
          <w:p>
            <w:pPr>
              <w:spacing w:after="0"/>
              <w:rPr>
                <w:sz w:val="17"/>
                <w:szCs w:val="17"/>
                <w:color w:val="auto"/>
              </w:rPr>
            </w:pPr>
          </w:p>
        </w:tc>
      </w:tr>
      <w:tr>
        <w:trPr>
          <w:trHeight w:val="256"/>
        </w:trPr>
        <w:tc>
          <w:tcPr>
            <w:tcW w:w="4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880" w:type="dxa"/>
            <w:vAlign w:val="bottom"/>
            <w:gridSpan w:val="2"/>
          </w:tcPr>
          <w:p>
            <w:pPr>
              <w:jc w:val="center"/>
              <w:ind w:right="5360"/>
              <w:spacing w:after="0"/>
              <w:rPr>
                <w:sz w:val="20"/>
                <w:szCs w:val="20"/>
                <w:color w:val="auto"/>
              </w:rPr>
            </w:pPr>
            <w:r>
              <w:rPr>
                <w:rFonts w:ascii="Times New Roman" w:cs="Times New Roman" w:eastAsia="Times New Roman" w:hAnsi="Times New Roman"/>
                <w:sz w:val="20"/>
                <w:szCs w:val="20"/>
                <w:b w:val="1"/>
                <w:bCs w:val="1"/>
                <w:color w:val="auto"/>
                <w:w w:val="98"/>
              </w:rPr>
              <w:t> </w:t>
            </w:r>
          </w:p>
        </w:tc>
      </w:tr>
      <w:tr>
        <w:trPr>
          <w:trHeight w:val="278"/>
        </w:trPr>
        <w:tc>
          <w:tcPr>
            <w:tcW w:w="4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gridSpan w:val="2"/>
          </w:tcPr>
          <w:p>
            <w:pPr>
              <w:spacing w:after="0"/>
              <w:rPr>
                <w:sz w:val="24"/>
                <w:szCs w:val="24"/>
                <w:color w:val="auto"/>
              </w:rPr>
            </w:pPr>
          </w:p>
        </w:tc>
      </w:tr>
      <w:tr>
        <w:trPr>
          <w:trHeight w:val="260"/>
        </w:trPr>
        <w:tc>
          <w:tcPr>
            <w:tcW w:w="4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Name of Subsidiary</w:t>
            </w:r>
          </w:p>
        </w:tc>
        <w:tc>
          <w:tcPr>
            <w:tcW w:w="1280" w:type="dxa"/>
            <w:vAlign w:val="bottom"/>
            <w:tcBorders>
              <w:bottom w:val="single" w:sz="8" w:color="auto"/>
              <w:right w:val="single" w:sz="8" w:color="auto"/>
            </w:tcBorders>
          </w:tcPr>
          <w:p>
            <w:pPr>
              <w:spacing w:after="0"/>
              <w:rPr>
                <w:sz w:val="22"/>
                <w:szCs w:val="22"/>
                <w:color w:val="auto"/>
              </w:rPr>
            </w:pPr>
          </w:p>
        </w:tc>
        <w:tc>
          <w:tcPr>
            <w:tcW w:w="58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Jurisdiction of Incorporation or Organization</w:t>
            </w:r>
          </w:p>
        </w:tc>
      </w:tr>
      <w:tr>
        <w:trPr>
          <w:trHeight w:val="263"/>
        </w:trPr>
        <w:tc>
          <w:tcPr>
            <w:tcW w:w="4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Aadi Subsidiary, Inc.</w:t>
            </w:r>
          </w:p>
        </w:tc>
        <w:tc>
          <w:tcPr>
            <w:tcW w:w="1280" w:type="dxa"/>
            <w:vAlign w:val="bottom"/>
            <w:tcBorders>
              <w:bottom w:val="single" w:sz="8" w:color="auto"/>
              <w:right w:val="single" w:sz="8" w:color="auto"/>
            </w:tcBorders>
          </w:tcPr>
          <w:p>
            <w:pPr>
              <w:spacing w:after="0"/>
              <w:rPr>
                <w:sz w:val="22"/>
                <w:szCs w:val="22"/>
                <w:color w:val="auto"/>
              </w:rPr>
            </w:pPr>
          </w:p>
        </w:tc>
        <w:tc>
          <w:tcPr>
            <w:tcW w:w="58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327"/>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 </w:t>
            </w:r>
          </w:p>
        </w:tc>
        <w:tc>
          <w:tcPr>
            <w:tcW w:w="1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100" w:type="dxa"/>
            <w:vAlign w:val="bottom"/>
          </w:tcPr>
          <w:p>
            <w:pPr>
              <w:spacing w:after="0"/>
              <w:rPr>
                <w:sz w:val="24"/>
                <w:szCs w:val="24"/>
                <w:color w:val="auto"/>
              </w:rPr>
            </w:pPr>
          </w:p>
        </w:tc>
      </w:tr>
    </w:tbl>
    <w:p>
      <w:pPr>
        <w:sectPr>
          <w:pgSz w:w="11900" w:h="16838" w:orient="portrait"/>
          <w:cols w:equalWidth="0" w:num="1">
            <w:col w:w="11260"/>
          </w:cols>
          <w:pgMar w:left="320" w:top="1409" w:right="31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Consent of Independent Registered Public Accounting Firm</w:t>
      </w:r>
    </w:p>
    <w:p>
      <w:pPr>
        <w:spacing w:after="0" w:line="22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Statements on Form S-3 (Nos. 333-277018, 333-268021, 333-259785, 333-255129, 333-223113, and 333-217320) and Form S-8 (Nos. 333-277020, 333-270933, 333-262639, 333-259787, 333-220057, 333-224189, 333-230114 and 333-237210) of Aadi Bioscience, Inc., of our report dated March 13, 2024, relating to the consolidated financial statements, which appears in this Annual Report on Form 10-K.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BDO USA, P.C.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Diego, California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13, 2024</w:t>
      </w:r>
    </w:p>
    <w:p>
      <w:pPr>
        <w:sectPr>
          <w:pgSz w:w="11900" w:h="16838" w:orient="portrait"/>
          <w:cols w:equalWidth="0" w:num="1">
            <w:col w:w="11240"/>
          </w:cols>
          <w:pgMar w:left="320" w:top="1409"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J. Lennon, certify that:</w:t>
      </w:r>
    </w:p>
    <w:p>
      <w:pPr>
        <w:spacing w:after="0" w:line="198"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Aadi Bioscience, Inc.;</w:t>
      </w:r>
    </w:p>
    <w:p>
      <w:pPr>
        <w:spacing w:after="0" w:line="21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2"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20"/>
        <w:spacing w:after="0"/>
        <w:tabs>
          <w:tab w:leader="none" w:pos="5940" w:val="left"/>
          <w:tab w:leader="none" w:pos="7840" w:val="left"/>
        </w:tabs>
        <w:rPr>
          <w:sz w:val="20"/>
          <w:szCs w:val="20"/>
          <w:color w:val="auto"/>
        </w:rPr>
      </w:pPr>
      <w:r>
        <w:rPr>
          <w:rFonts w:ascii="Times New Roman" w:cs="Times New Roman" w:eastAsia="Times New Roman" w:hAnsi="Times New Roman"/>
          <w:sz w:val="18"/>
          <w:szCs w:val="18"/>
          <w:color w:val="auto"/>
        </w:rPr>
        <w:t>Date: March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David J. Lennon,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18415</wp:posOffset>
            </wp:positionV>
            <wp:extent cx="30689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2">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4"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David J. Lennon, Ph.D.</w:t>
      </w:r>
    </w:p>
    <w:p>
      <w:pPr>
        <w:spacing w:after="0" w:line="15"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ind w:left="7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143"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Giacobello, certify that:</w:t>
      </w:r>
    </w:p>
    <w:p>
      <w:pPr>
        <w:spacing w:after="0" w:line="198"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Aadi Bioscience, Inc.;</w:t>
      </w:r>
    </w:p>
    <w:p>
      <w:pPr>
        <w:spacing w:after="0" w:line="21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2"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20"/>
        <w:spacing w:after="0"/>
        <w:tabs>
          <w:tab w:leader="none" w:pos="5940" w:val="left"/>
          <w:tab w:leader="none" w:pos="8100" w:val="left"/>
        </w:tabs>
        <w:rPr>
          <w:sz w:val="20"/>
          <w:szCs w:val="20"/>
          <w:color w:val="auto"/>
        </w:rPr>
      </w:pPr>
      <w:r>
        <w:rPr>
          <w:rFonts w:ascii="Times New Roman" w:cs="Times New Roman" w:eastAsia="Times New Roman" w:hAnsi="Times New Roman"/>
          <w:sz w:val="18"/>
          <w:szCs w:val="18"/>
          <w:color w:val="auto"/>
        </w:rPr>
        <w:t>Date: March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Scott Giacobello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18415</wp:posOffset>
            </wp:positionV>
            <wp:extent cx="30689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3">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4"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Scott Giacobello</w:t>
      </w:r>
    </w:p>
    <w:p>
      <w:pPr>
        <w:spacing w:after="0" w:line="15"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ind w:left="77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1240"/>
          </w:cols>
          <w:pgMar w:left="320" w:top="1143"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Aadi Bioscience, Inc. (the “Company”) on Form 10-K for the period ending December 31,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ind w:left="20"/>
        <w:spacing w:after="0"/>
        <w:tabs>
          <w:tab w:leader="none" w:pos="5940" w:val="left"/>
          <w:tab w:leader="none" w:pos="7840" w:val="left"/>
        </w:tabs>
        <w:rPr>
          <w:sz w:val="20"/>
          <w:szCs w:val="20"/>
          <w:color w:val="auto"/>
        </w:rPr>
      </w:pPr>
      <w:r>
        <w:rPr>
          <w:rFonts w:ascii="Times New Roman" w:cs="Times New Roman" w:eastAsia="Times New Roman" w:hAnsi="Times New Roman"/>
          <w:sz w:val="18"/>
          <w:szCs w:val="18"/>
          <w:color w:val="auto"/>
        </w:rPr>
        <w:t>Date: March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David J. Lennon,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18415</wp:posOffset>
            </wp:positionV>
            <wp:extent cx="30689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4"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David J. Lennon, Ph.D.</w:t>
      </w:r>
    </w:p>
    <w:p>
      <w:pPr>
        <w:spacing w:after="0" w:line="15"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ind w:left="7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143"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Aadi Bioscience, Inc. (the “Company”) on Form 10-K for the period ending December 31,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ind w:left="20"/>
        <w:spacing w:after="0"/>
        <w:tabs>
          <w:tab w:leader="none" w:pos="5940" w:val="left"/>
          <w:tab w:leader="none" w:pos="8100" w:val="left"/>
        </w:tabs>
        <w:rPr>
          <w:sz w:val="20"/>
          <w:szCs w:val="20"/>
          <w:color w:val="auto"/>
        </w:rPr>
      </w:pPr>
      <w:r>
        <w:rPr>
          <w:rFonts w:ascii="Times New Roman" w:cs="Times New Roman" w:eastAsia="Times New Roman" w:hAnsi="Times New Roman"/>
          <w:sz w:val="18"/>
          <w:szCs w:val="18"/>
          <w:color w:val="auto"/>
        </w:rPr>
        <w:t>Date: March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Scott Giacobello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18415</wp:posOffset>
            </wp:positionV>
            <wp:extent cx="30689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4"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Scott Giacobello</w:t>
      </w:r>
    </w:p>
    <w:p>
      <w:pPr>
        <w:spacing w:after="0" w:line="15"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ind w:left="77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1240"/>
          </w:cols>
          <w:pgMar w:left="320" w:top="1143"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AADI BIOSCIENCE,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COMPENSATION RECOVERY POLICY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adopted on November 27, 2023</w:t>
      </w:r>
    </w:p>
    <w:p>
      <w:pPr>
        <w:spacing w:after="0" w:line="23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Aadi Bioscience,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is committed to strong corporate governance. As part of this commitment, the Company’s Compensation Committee (the “</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of the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has adopted this clawback policy called the Compensation Recovery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The Policy is intended to further the Company’s pay-for-performance philosophy and to comply with applicable laws by providing rules relating to the reasonably prompt recovery of certain compensation received by Covered Executives in the event of an Accounting Restatement. The application of the Policy to Covered Executives is not discretionary, except to the limited extent provided below, and applies without regard to whether a Covered Executive was at fault. Capitalized terms used in the Policy are defined below.</w:t>
      </w:r>
    </w:p>
    <w:p>
      <w:pPr>
        <w:spacing w:after="0" w:line="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Policy is intended to comply with, and will be interpreted in a manner consistent with, Section 10D of the Securities Exchange Act of 1934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with Exchange Act Rule 10D-1 and with the listing standards of the national securities exchange (the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 on which the securities of the Company are listed, including any official interpretive guidance.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Persons Covered by the Policy</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262626"/>
        </w:rPr>
        <w:t>The Policy is binding and enforceable against all “</w:t>
      </w:r>
      <w:r>
        <w:rPr>
          <w:rFonts w:ascii="Times New Roman" w:cs="Times New Roman" w:eastAsia="Times New Roman" w:hAnsi="Times New Roman"/>
          <w:sz w:val="20"/>
          <w:szCs w:val="20"/>
          <w:b w:val="1"/>
          <w:bCs w:val="1"/>
          <w:color w:val="262626"/>
        </w:rPr>
        <w:t>Covered Executives</w:t>
      </w:r>
      <w:r>
        <w:rPr>
          <w:rFonts w:ascii="Times New Roman" w:cs="Times New Roman" w:eastAsia="Times New Roman" w:hAnsi="Times New Roman"/>
          <w:sz w:val="20"/>
          <w:szCs w:val="20"/>
          <w:color w:val="262626"/>
        </w:rPr>
        <w:t>.” A Covered Executive is each individual who is or was ever designated as an “officer” by the Board in accordance with Exchange Act Rule 16a-1(f) (a “</w:t>
      </w:r>
      <w:r>
        <w:rPr>
          <w:rFonts w:ascii="Times New Roman" w:cs="Times New Roman" w:eastAsia="Times New Roman" w:hAnsi="Times New Roman"/>
          <w:sz w:val="20"/>
          <w:szCs w:val="20"/>
          <w:b w:val="1"/>
          <w:bCs w:val="1"/>
          <w:color w:val="262626"/>
        </w:rPr>
        <w:t>Section 16 Officer</w:t>
      </w:r>
      <w:r>
        <w:rPr>
          <w:rFonts w:ascii="Times New Roman" w:cs="Times New Roman" w:eastAsia="Times New Roman" w:hAnsi="Times New Roman"/>
          <w:sz w:val="20"/>
          <w:szCs w:val="20"/>
          <w:color w:val="262626"/>
        </w:rPr>
        <w:t xml:space="preserve">”). The </w:t>
      </w:r>
      <w:r>
        <w:rPr>
          <w:rFonts w:ascii="Times New Roman" w:cs="Times New Roman" w:eastAsia="Times New Roman" w:hAnsi="Times New Roman"/>
          <w:sz w:val="20"/>
          <w:szCs w:val="20"/>
          <w:color w:val="000000"/>
        </w:rPr>
        <w:t>Committee</w:t>
      </w:r>
      <w:r>
        <w:rPr>
          <w:rFonts w:ascii="Times New Roman" w:cs="Times New Roman" w:eastAsia="Times New Roman" w:hAnsi="Times New Roman"/>
          <w:sz w:val="20"/>
          <w:szCs w:val="20"/>
          <w:color w:val="262626"/>
        </w:rPr>
        <w:t xml:space="preserve"> may (but is not obligated to) request or require a Covered Executive to sign and return to the Company an acknowledgement that such Covered Executive will be bound by the terms and comply with the Policy. The Policy is binding on each Covered Executive regardless of whether the Covered Executive signs and returns any acknowledgment.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Administration of the Policy</w:t>
      </w:r>
    </w:p>
    <w:p>
      <w:pPr>
        <w:spacing w:after="0" w:line="11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Committee has full delegated authority to administer the Policy. The Committee is authorized to interpret and construe the Policy and to make all determinations necessary, appropriate, or advisable for the administration of the Policy. In addition, if determined in the discretion of the Board, the Policy may be administered by the independent members of the Board or another committee of the Board made up of independent members of the Board, in which case all references to the Committee will be deemed to refer to the independent members of the Board or the other Board committee. All determinations of the Committee will be final and binding and will be given the maximum deference permitted by law.</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Restatements Requiring Application of the Policy</w:t>
      </w:r>
    </w:p>
    <w:p>
      <w:pPr>
        <w:spacing w:after="0" w:line="11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 w:cs="Times New Roman" w:eastAsia="Times New Roman" w:hAnsi="Times New Roman"/>
          <w:sz w:val="20"/>
          <w:szCs w:val="20"/>
          <w:b w:val="1"/>
          <w:bCs w:val="1"/>
          <w:color w:val="auto"/>
        </w:rPr>
        <w:t>Accounting Restatement</w:t>
      </w:r>
      <w:r>
        <w:rPr>
          <w:rFonts w:ascii="Times New Roman" w:cs="Times New Roman" w:eastAsia="Times New Roman" w:hAnsi="Times New Roman"/>
          <w:sz w:val="20"/>
          <w:szCs w:val="20"/>
          <w:color w:val="auto"/>
        </w:rPr>
        <w:t>”), then the Committee must determine the Excess Compensation, if any, that must be recovered. The Company’s obligation to recover Excess Compensation is not dependent on if or when restated financial statements are filed.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Covered by the Policy</w:t>
      </w:r>
    </w:p>
    <w:p>
      <w:pPr>
        <w:sectPr>
          <w:pgSz w:w="11900" w:h="16838" w:orient="portrait"/>
          <w:cols w:equalWidth="0" w:num="1">
            <w:col w:w="11240"/>
          </w:cols>
          <w:pgMar w:left="320" w:top="1409" w:right="339" w:bottom="1440" w:gutter="0" w:footer="0" w:header="0"/>
        </w:sectPr>
      </w:pPr>
    </w:p>
    <w:bookmarkStart w:id="159" w:name="page160"/>
    <w:bookmarkEnd w:id="159"/>
    <w:p>
      <w:pPr>
        <w:spacing w:after="0" w:line="7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The Policy applies to certain Incentive-Based Compensation that is Received on or after October 2, 2023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during the Covered Period while the Company has a class of securities listed on a national securities exchange. Such Incentive-Based Compensation is considered “</w:t>
      </w:r>
      <w:r>
        <w:rPr>
          <w:rFonts w:ascii="Times New Roman" w:cs="Times New Roman" w:eastAsia="Times New Roman" w:hAnsi="Times New Roman"/>
          <w:sz w:val="20"/>
          <w:szCs w:val="20"/>
          <w:b w:val="1"/>
          <w:bCs w:val="1"/>
          <w:color w:val="auto"/>
        </w:rPr>
        <w:t>Clawback Eligible Incentive-Based Compensation</w:t>
      </w:r>
      <w:r>
        <w:rPr>
          <w:rFonts w:ascii="Times New Roman" w:cs="Times New Roman" w:eastAsia="Times New Roman" w:hAnsi="Times New Roman"/>
          <w:sz w:val="20"/>
          <w:szCs w:val="20"/>
          <w:color w:val="auto"/>
        </w:rPr>
        <w:t>” if the Incentive-Based Compensation is Received by a person after such person became a Section 16 Officer and the person served as a Section 16 Officer at any time during the performance period for the Incentive-Based Compensation. “</w:t>
      </w:r>
      <w:r>
        <w:rPr>
          <w:rFonts w:ascii="Times New Roman" w:cs="Times New Roman" w:eastAsia="Times New Roman" w:hAnsi="Times New Roman"/>
          <w:sz w:val="20"/>
          <w:szCs w:val="20"/>
          <w:b w:val="1"/>
          <w:bCs w:val="1"/>
          <w:color w:val="auto"/>
        </w:rPr>
        <w:t>Excess Compensation</w:t>
      </w:r>
      <w:r>
        <w:rPr>
          <w:rFonts w:ascii="Times New Roman" w:cs="Times New Roman" w:eastAsia="Times New Roman" w:hAnsi="Times New Roman"/>
          <w:sz w:val="20"/>
          <w:szCs w:val="20"/>
          <w:color w:val="auto"/>
        </w:rPr>
        <w:t>” means the amount of Clawback Eligible Incentive-Based Compensation that exceeds the amount of Clawback Eligible Incentive-Based Compensation that otherwise would have been Received had such Clawback Eligible Incentive-Based Compensation been determined based on the restated amounts. Excess Compensation must be computed without regard to any taxes paid, and is referred to in the listings standards as “erroneously awarded compensation.”</w:t>
      </w:r>
    </w:p>
    <w:p>
      <w:pPr>
        <w:spacing w:after="0" w:line="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To determine the amount of Excess Compensation for Incentive-Based Compensation based on stock price or total shareholder return, where it is not subject to mathematical recalculation directly from the information in an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that documentation to the Exchange.</w:t>
      </w:r>
    </w:p>
    <w:p>
      <w:pPr>
        <w:spacing w:after="0" w:line="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Incentive-Based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 For the avoidance of doubt, no compensation that is potentially subject to recovery under the Policy will be earned until the Company’s right to recover under the Policy has lapsed.</w:t>
      </w:r>
    </w:p>
    <w:p>
      <w:pPr>
        <w:spacing w:after="0" w:line="6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Reporting Measures</w:t>
      </w:r>
      <w:r>
        <w:rPr>
          <w:rFonts w:ascii="Times New Roman" w:cs="Times New Roman" w:eastAsia="Times New Roman" w:hAnsi="Times New Roman"/>
          <w:sz w:val="20"/>
          <w:szCs w:val="20"/>
          <w:color w:val="auto"/>
        </w:rPr>
        <w:t>” 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w:t>
      </w:r>
    </w:p>
    <w:p>
      <w:pPr>
        <w:spacing w:after="0" w:line="7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Incentive-Based Compensation is “</w:t>
      </w:r>
      <w:r>
        <w:rPr>
          <w:rFonts w:ascii="Times New Roman" w:cs="Times New Roman" w:eastAsia="Times New Roman" w:hAnsi="Times New Roman"/>
          <w:sz w:val="20"/>
          <w:szCs w:val="20"/>
          <w:b w:val="1"/>
          <w:bCs w:val="1"/>
          <w:color w:val="auto"/>
        </w:rPr>
        <w:t>Received</w:t>
      </w:r>
      <w:r>
        <w:rPr>
          <w:rFonts w:ascii="Times New Roman" w:cs="Times New Roman" w:eastAsia="Times New Roman" w:hAnsi="Times New Roman"/>
          <w:sz w:val="20"/>
          <w:szCs w:val="20"/>
          <w:color w:val="auto"/>
        </w:rPr>
        <w:t>” under the Policy in the Company’s fiscal period during which the Financial Reporting Measure specified in the Incentive-Based Compensation award is attained, even if the payment, vesting, settlement or grant of the Incentive-Based Compensation occurs after the end of that period. For the avoidance of doubt, the Policy does not apply to Incentive-Based Compensation for which the Financial Reporting Measure is attained prior to the Effective Date.</w:t>
      </w:r>
    </w:p>
    <w:p>
      <w:pPr>
        <w:spacing w:after="0" w:line="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Covered Period</w:t>
      </w:r>
      <w:r>
        <w:rPr>
          <w:rFonts w:ascii="Times New Roman" w:cs="Times New Roman" w:eastAsia="Times New Roman" w:hAnsi="Times New Roman"/>
          <w:sz w:val="20"/>
          <w:szCs w:val="20"/>
          <w:color w:val="auto"/>
        </w:rPr>
        <w:t>” means the three completed fiscal years immediately preceding the Accounting Restatement Determination Date.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Covered Period can include certain transition periods resulting from a change in the Company’s fiscal year.</w:t>
      </w:r>
    </w:p>
    <w:p>
      <w:pPr>
        <w:spacing w:after="0" w:line="8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Accounting Restatement Determination Date</w:t>
      </w:r>
      <w:r>
        <w:rPr>
          <w:rFonts w:ascii="Times New Roman" w:cs="Times New Roman" w:eastAsia="Times New Roman" w:hAnsi="Times New Roman"/>
          <w:sz w:val="20"/>
          <w:szCs w:val="20"/>
          <w:color w:val="auto"/>
        </w:rPr>
        <w:t>” means the earliest to occur of: (a) the date the Board, a committee of the Board, or one or more of the officers of the Company authorized to take such action if Board action is not required, concludes, or reasonably should have concluded, that the Company is required to prepare an Accounting Restatement; and (b) the date a court, regulator, or other legally authorized body directs the Company to prepare an Accounting Restatement.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Repayment of Excess Compensation</w:t>
      </w:r>
    </w:p>
    <w:p>
      <w:pPr>
        <w:spacing w:after="0" w:line="1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Company must recover Excess Compensation reasonably promptly and Covered Executives are required to repay Excess Compensation to the Company. Subject to applicable law, the Company may recover Excess Compensation by requiring the Covered Executive to repay such amount to the Company by direct payment to the Company or such other means or combination of means as the Committee</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8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determines to be appropriate (these determinations do not need to be identical as to each Covered Executive). These means include (but are not limited to):</w:t>
      </w:r>
    </w:p>
    <w:p>
      <w:pPr>
        <w:spacing w:after="0" w:line="38" w:lineRule="exact"/>
        <w:rPr>
          <w:sz w:val="20"/>
          <w:szCs w:val="20"/>
          <w:color w:val="auto"/>
        </w:rPr>
      </w:pPr>
    </w:p>
    <w:p>
      <w:pPr>
        <w:ind w:left="640" w:hanging="308"/>
        <w:spacing w:after="0"/>
        <w:tabs>
          <w:tab w:leader="none" w:pos="6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reimbursement of cash Incentive-Based Compensation previously paid;</w:t>
      </w:r>
    </w:p>
    <w:p>
      <w:pPr>
        <w:spacing w:after="0" w:line="12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seeking recovery of any gain realized on the vesting, exercise, settlement, sale, transfer, or other disposition of any equity-based awards (including, but not limited to, time-based vesting awards), without regard to whether such awards are Incentive-Based Compensation or vest based on the achievement of performance goals;</w:t>
      </w:r>
    </w:p>
    <w:p>
      <w:pPr>
        <w:spacing w:after="0" w:line="73"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49"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offsetting the amount to be recovered from any unpaid or future compensation to be paid by the Company or any affiliate of the Company to the Covered Executive, including (but not limited to) payments of severance that might otherwise be due in connection with a Covered Executive’s termination of employment and without regard to whether such amounts are Incentive-Based Compensation;</w:t>
      </w:r>
    </w:p>
    <w:p>
      <w:pPr>
        <w:spacing w:after="0" w:line="79"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cancelling outstanding vested or unvested equity awards (including, but not limited to, time-based vesting awards), without regard to whether such awards are Incentive-Based Compensation; and/or</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taking any other remedial and recovery action permitted by law, as determined by the Committee.</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repayment of Excess Compensation must be made by a Covered Executive notwithstanding any Covered Executive’s belief (whether or not legitimate) that the Excess Compensation had been previously earned under applicable law and therefore is not subject to clawback.</w:t>
      </w:r>
    </w:p>
    <w:p>
      <w:pPr>
        <w:spacing w:after="0" w:line="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In addition to its rights to recovery under the Policy, the Company or any affiliate of the Company may take any legal actions it determines appropriate to enforce a Covered Executive’s obligations to the Company or to discipline a Covered Executive. Failure of a Covered Executive to comply with their obligations under the Policy may result in (without limitation) termination of that Covered Executive’s employment, institution of civil proceedings, reporting of misconduct to appropriate governmental authorities, reduction of future compensation opportunities or change in role. The decision to take any actions described in the preceding sentence will not be subject to the approval of the Committee and can be made by the Board, any committee of the Board, or any duly authorized officer of the Company or of any applicable affiliate of the Company. For avoidance of doubt, any decisions of the Company or the Covered Executive’s employer to discipline a Covered Executive or terminate the employment of a Covered Executive are independent of determinations under this Policy. For example, if a Covered Executive was involved in activities that led to an Accounting Restatement, the Company’s decision as to whether to not to terminate such Covered Executive’s employment would be made under its employment arrangements with such Covered Executive and the requirement to apply this no-fault and non-discretionary clawback policy will not be determinative of whether any such termination is for cause, although failure to comply with the Policy might be something that could result in a termination for cause depending on the terms of such arrangements.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Limited Exceptions to the Policy</w:t>
      </w:r>
    </w:p>
    <w:p>
      <w:pPr>
        <w:spacing w:after="0" w:line="12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must recover the Excess Compensation in accordance with the Policy except to the limited extent that any of the conditions set forth below is met, and the Committee determines that recovery of the Excess Compensation would be impracticable:</w:t>
      </w:r>
    </w:p>
    <w:p>
      <w:pPr>
        <w:spacing w:after="0" w:line="65" w:lineRule="exact"/>
        <w:rPr>
          <w:sz w:val="20"/>
          <w:szCs w:val="20"/>
          <w:color w:val="auto"/>
        </w:rPr>
      </w:pPr>
    </w:p>
    <w:p>
      <w:pPr>
        <w:jc w:val="both"/>
        <w:ind w:left="660" w:hanging="328"/>
        <w:spacing w:after="0" w:line="261" w:lineRule="auto"/>
        <w:tabs>
          <w:tab w:leader="none" w:pos="649"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the Policy would exceed the amount to be recovered. Before reaching this conclusion, the Company must make a reasonable attempt to recover such Excess Compensation, document such reasonable attempt(s) to recover, and provide that documentation to the Exchange; or</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81" w:lineRule="exact"/>
        <w:rPr>
          <w:sz w:val="20"/>
          <w:szCs w:val="20"/>
          <w:color w:val="auto"/>
        </w:rPr>
      </w:pPr>
    </w:p>
    <w:p>
      <w:pPr>
        <w:ind w:left="660" w:right="20" w:hanging="328"/>
        <w:spacing w:after="0" w:line="283" w:lineRule="auto"/>
        <w:tabs>
          <w:tab w:leader="none" w:pos="6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likely cause an otherwise tax-qualified retirement plan, under which benefits are broadly available to employees of the Company, to fail to meet the legal requirements as such.</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Important Information in the Policy</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Policy is in addition to the requirements of Section 304 of the Sarbanes-Oxley Act of 2002 that are applicable to the Company’s Chief Executive Officer and Chief Financial Officer, as well as any other applicable laws, regulatory requirements, rules, or pursuant to the terms of any existing Company policy or agreement providing for the recovery of compensation.</w:t>
      </w:r>
    </w:p>
    <w:p>
      <w:pPr>
        <w:spacing w:after="0" w:line="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Notwithstanding the terms of any of the Company’s organizational documents (including, but not limited to, the Company’s bylaws), any corporate policy or any contract (including, but not limited to, any indemnification agreement), neither the Company nor any affiliate of the Company will indemnify or provide advancement for any Covered Executive against any loss of Excess Compensation. Neither the Company nor any affiliate of the Company will pay for or reimburse insurance premiums for an insurance policy that covers potential recovery obligations. In the event that the Company is required to recover Excess Compensation pursuant to the Policy from a Covered Executive who is no longer an employee, the Company will be entitled to seek recovery in order to comply with applicable law, regardless of the terms of any release of claims or separation agreement that individual may have signed.</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Committee or Board may review and modify the Policy from time to time.</w:t>
      </w:r>
    </w:p>
    <w:p>
      <w:pPr>
        <w:spacing w:after="0" w:line="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If any provision of the Policy or the application of any such provision to any Covered Executive is adjudicated to be invalid, illegal or unenforceable in any respect, such invalidity, illegality or unenforceability will not affect any other provisions of the Policy or the application of such provision to another Covered Executive, and the invalid, illegal or unenforceable provisions will be deemed amended to the minimum extent necessary to render any such provision or application enforceable.</w:t>
      </w:r>
    </w:p>
    <w:p>
      <w:pPr>
        <w:spacing w:after="0" w:line="7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Policy will terminate and no longer be enforceable when the Company ceases to be listed issuer within the meaning of Section 10D of the Exchange Act.</w:t>
      </w:r>
    </w:p>
    <w:p>
      <w:pPr>
        <w:sectPr>
          <w:pgSz w:w="11900" w:h="16838" w:orient="portrait"/>
          <w:cols w:equalWidth="0" w:num="1">
            <w:col w:w="11240"/>
          </w:cols>
          <w:pgMar w:left="320" w:top="1440"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20"/>
          <w:szCs w:val="20"/>
          <w:b w:val="1"/>
          <w:bCs w:val="1"/>
          <w:color w:val="auto"/>
        </w:rPr>
        <w:t>ACKNOWLEDGEMENT</w:t>
      </w:r>
    </w:p>
    <w:p>
      <w:pPr>
        <w:spacing w:after="0" w:line="94" w:lineRule="exact"/>
        <w:rPr>
          <w:sz w:val="20"/>
          <w:szCs w:val="20"/>
          <w:color w:val="auto"/>
        </w:rPr>
      </w:pPr>
    </w:p>
    <w:p>
      <w:pPr>
        <w:ind w:left="660" w:hanging="328"/>
        <w:spacing w:after="0" w:line="287" w:lineRule="auto"/>
        <w:tabs>
          <w:tab w:leader="none" w:pos="64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I have received and read the Compensation Recovery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of Aadi Bioscience,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47"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and acknowledge that the Policy applies to me, and all of my beneficiaries, heirs, executors, administrators or other legal representatives and that the Company’s right to recovery in order to comply with applicable law will apply, regardless of the terms of any release of claims or separation agreement I have signed or will sign in the future.</w:t>
      </w:r>
    </w:p>
    <w:p>
      <w:pPr>
        <w:spacing w:after="0" w:line="59"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agree to be bound by and to comply with the Policy and understand that determinations of the Committee (as such term is used in the Policy) will be final and binding and will be given the maximum deference permitted by law.</w:t>
      </w:r>
    </w:p>
    <w:p>
      <w:pPr>
        <w:spacing w:after="0" w:line="5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and agree that my current indemnification rights, whether in an individual agreement or the Company’s organizational documents, exclude the right to be indemnified for amounts required to be recovered under the Policy.</w:t>
      </w:r>
    </w:p>
    <w:p>
      <w:pPr>
        <w:spacing w:after="0" w:line="64"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my failure to comply in all respects with the Policy is a basis for termination of my employment with the Company and any affiliate of the Company as well as any other appropriate discipline.</w:t>
      </w:r>
    </w:p>
    <w:p>
      <w:pPr>
        <w:spacing w:after="0" w:line="64"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neither the Policy, nor the application of the Policy to me, gives rise to a resignation for good reason (or similar concept) by me under any applicable employment agreement or arrangement.</w:t>
      </w:r>
    </w:p>
    <w:p>
      <w:pPr>
        <w:spacing w:after="0" w:line="38"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if I have questions concerning the meaning or application of the Policy, it is my responsibility to seek guidance from the General Counsel or my own personal advisers.</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neither this Acknowledgement nor the Policy is meant to constitute an employment contract.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review, sign and return this form to the General Counsel.</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38233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6">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print name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38233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7">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(date)</w:t>
      </w:r>
    </w:p>
    <w:sectPr>
      <w:pgSz w:w="11900" w:h="16838" w:orient="portrait"/>
      <w:cols w:equalWidth="0" w:num="1">
        <w:col w:w="11240"/>
      </w:cols>
      <w:pgMar w:left="320"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x"/>
      <w:numFmt w:val="bullet"/>
      <w:start w:val="1"/>
    </w:lvl>
  </w:abstractNum>
  <w:abstractNum w:abstractNumId="1">
    <w:nsid w:val="5072367"/>
    <w:multiLevelType w:val="hybridMultilevel"/>
    <w:lvl w:ilvl="0">
      <w:lvlJc w:val="left"/>
      <w:lvlText w:val="o"/>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1)"/>
      <w:numFmt w:val="lowerRoman"/>
      <w:start w:val="2"/>
    </w:lvl>
  </w:abstractNum>
  <w:abstractNum w:abstractNumId="55">
    <w:nsid w:val="77AE35EB"/>
    <w:multiLevelType w:val="hybridMultilevel"/>
    <w:lvl w:ilvl="0">
      <w:lvlJc w:val="left"/>
      <w:lvlText w:val="(%1)"/>
      <w:numFmt w:val="decimal"/>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1."/>
      <w:numFmt w:val="decimal"/>
      <w:start w:val="8"/>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1"/>
      <w:numFmt w:val="decimal"/>
      <w:start w:val="104"/>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1."/>
      <w:numFmt w:val="decimal"/>
      <w:start w:val="1"/>
    </w:lvl>
    <w:lvl w:ilvl="1">
      <w:lvlJc w:val="left"/>
      <w:lvlText w:val="(%2)"/>
      <w:numFmt w:val="lowerLetter"/>
      <w:start w:val="1"/>
    </w:lvl>
  </w:abstractNum>
  <w:abstractNum w:abstractNumId="63">
    <w:nsid w:val="1F48EAA1"/>
    <w:multiLevelType w:val="hybridMultilevel"/>
    <w:lvl w:ilvl="0">
      <w:lvlJc w:val="left"/>
      <w:lvlText w:val="%1."/>
      <w:numFmt w:val="decimal"/>
      <w:start w:val="1"/>
    </w:lvl>
    <w:lvl w:ilvl="1">
      <w:lvlJc w:val="left"/>
      <w:lvlText w:val="(%2)"/>
      <w:numFmt w:val="lowerLetter"/>
      <w:start w:val="1"/>
    </w:lvl>
  </w:abstractNum>
  <w:abstractNum w:abstractNumId="64">
    <w:nsid w:val="1381823A"/>
    <w:multiLevelType w:val="hybridMultilevel"/>
    <w:lvl w:ilvl="0">
      <w:lvlJc w:val="left"/>
      <w:lvlText w:val="(%1)"/>
      <w:numFmt w:val="decimal"/>
      <w:start w:val="1"/>
    </w:lvl>
  </w:abstractNum>
  <w:abstractNum w:abstractNumId="65">
    <w:nsid w:val="5DB70AE5"/>
    <w:multiLevelType w:val="hybridMultilevel"/>
    <w:lvl w:ilvl="0">
      <w:lvlJc w:val="left"/>
      <w:lvlText w:val="(%1)"/>
      <w:numFmt w:val="decimal"/>
      <w:start w:val="1"/>
    </w:lvl>
  </w:abstractNum>
  <w:abstractNum w:abstractNumId="66">
    <w:nsid w:val="100F8FCA"/>
    <w:multiLevelType w:val="hybridMultilevel"/>
    <w:lvl w:ilvl="0">
      <w:lvlJc w:val="left"/>
      <w:lvlText w:val="%1."/>
      <w:numFmt w:val="lowerLetter"/>
      <w:start w:val="1"/>
    </w:lvl>
  </w:abstractNum>
  <w:abstractNum w:abstractNumId="67">
    <w:nsid w:val="6590700B"/>
    <w:multiLevelType w:val="hybridMultilevel"/>
    <w:lvl w:ilvl="0">
      <w:lvlJc w:val="left"/>
      <w:lvlText w:val="%1."/>
      <w:numFmt w:val="lowerLetter"/>
      <w:start w:val="1"/>
    </w:lvl>
  </w:abstractNum>
  <w:abstractNum w:abstractNumId="68">
    <w:nsid w:val="15014ACB"/>
    <w:multiLevelType w:val="hybridMultilevel"/>
    <w:lvl w:ilvl="0">
      <w:lvlJc w:val="left"/>
      <w:lvlText w:val="%1."/>
      <w:numFmt w:val="lowerLetter"/>
      <w:start w:val="2"/>
    </w:lvl>
  </w:abstractNum>
  <w:abstractNum w:abstractNumId="69">
    <w:nsid w:val="5F5E7FD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200" Type="http://schemas.openxmlformats.org/officeDocument/2006/relationships/image" Target="media/image181.png"/><Relationship Id="rId217" Type="http://schemas.openxmlformats.org/officeDocument/2006/relationships/image" Target="media/image182.png"/><Relationship Id="rId219" Type="http://schemas.openxmlformats.org/officeDocument/2006/relationships/image" Target="media/image183.png"/><Relationship Id="rId220" Type="http://schemas.openxmlformats.org/officeDocument/2006/relationships/image" Target="media/image184.png"/><Relationship Id="rId221" Type="http://schemas.openxmlformats.org/officeDocument/2006/relationships/image" Target="media/image185.png"/><Relationship Id="rId222" Type="http://schemas.openxmlformats.org/officeDocument/2006/relationships/image" Target="media/image186.png"/><Relationship Id="rId223" Type="http://schemas.openxmlformats.org/officeDocument/2006/relationships/image" Target="media/image187.png"/><Relationship Id="rId224" Type="http://schemas.openxmlformats.org/officeDocument/2006/relationships/image" Target="media/image188.png"/><Relationship Id="rId225" Type="http://schemas.openxmlformats.org/officeDocument/2006/relationships/image" Target="media/image189.png"/><Relationship Id="rId226" Type="http://schemas.openxmlformats.org/officeDocument/2006/relationships/image" Target="media/image190.png"/><Relationship Id="rId227" Type="http://schemas.openxmlformats.org/officeDocument/2006/relationships/image" Target="media/image191.png"/><Relationship Id="rId188" Type="http://schemas.openxmlformats.org/officeDocument/2006/relationships/hyperlink" Target="http://www.sec.gov/Archives/edgar/data/0001422142/000119312521162770/d120588dex21.htm" TargetMode="External"/><Relationship Id="rId189" Type="http://schemas.openxmlformats.org/officeDocument/2006/relationships/hyperlink" Target="http://www.sec.gov/Archives/edgar/data/1422142/000119312521257910/d119681dex31.htm" TargetMode="External"/><Relationship Id="rId190" Type="http://schemas.openxmlformats.org/officeDocument/2006/relationships/hyperlink" Target="https://www.sec.gov/Archives/edgar/data/1422142/000119312522300219/d431885dex31.htm" TargetMode="External"/><Relationship Id="rId191" Type="http://schemas.openxmlformats.org/officeDocument/2006/relationships/hyperlink" Target="https://www.sec.gov/Archives/edgar/data/1422142/000119312522249235/d367672dex41.htm" TargetMode="External"/><Relationship Id="rId192" Type="http://schemas.openxmlformats.org/officeDocument/2006/relationships/hyperlink" Target="https://www.sec.gov/Archives/edgar/data/1422142/000119312522249235/d367672dex101.htm" TargetMode="External"/><Relationship Id="rId193" Type="http://schemas.openxmlformats.org/officeDocument/2006/relationships/hyperlink" Target="http://www.sec.gov/Archives/edgar/data/1422142/000119312521257910/d119681dex32.htm" TargetMode="External"/><Relationship Id="rId194" Type="http://schemas.openxmlformats.org/officeDocument/2006/relationships/hyperlink" Target="https://www.sec.gov/Archives/edgar/data/1422142/000119312522249235/d367672dex102.htm" TargetMode="External"/><Relationship Id="rId195" Type="http://schemas.openxmlformats.org/officeDocument/2006/relationships/hyperlink" Target="http://www.sec.gov/Archives/edgar/data/1422142/000119312521257910/d119681dex103.htm" TargetMode="External"/><Relationship Id="rId196" Type="http://schemas.openxmlformats.org/officeDocument/2006/relationships/hyperlink" Target="https://www.sec.gov/Archives/edgar/data/1422142/000162828023009583/aadi-20221231xex104xamende.htm" TargetMode="External"/><Relationship Id="rId197" Type="http://schemas.openxmlformats.org/officeDocument/2006/relationships/hyperlink" Target="https://www.sec.gov/Archives/edgar/data/1422142/000156459022010721/aadi-ex105_377.htm" TargetMode="External"/><Relationship Id="rId198" Type="http://schemas.openxmlformats.org/officeDocument/2006/relationships/hyperlink" Target="http://www.sec.gov/Archives/edgar/data/1422142/000119312521257910/d119681dex106.htm" TargetMode="External"/><Relationship Id="rId199" Type="http://schemas.openxmlformats.org/officeDocument/2006/relationships/hyperlink" Target="http://www.sec.gov/Archives/edgar/data/1422142/000119312521257910/d119681dex107.htm" TargetMode="External"/><Relationship Id="rId201" Type="http://schemas.openxmlformats.org/officeDocument/2006/relationships/hyperlink" Target="http://www.sec.gov/Archives/edgar/data/1422142/000119312521257910/d119681dex108.htm" TargetMode="External"/><Relationship Id="rId202" Type="http://schemas.openxmlformats.org/officeDocument/2006/relationships/hyperlink" Target="http://www.sec.gov/Archives/edgar/data/1422142/000119312521257910/d119681dex109.htm" TargetMode="External"/><Relationship Id="rId203" Type="http://schemas.openxmlformats.org/officeDocument/2006/relationships/hyperlink" Target="http://www.sec.gov/Archives/edgar/data/1422142/000119312521257910/d119681dex1010.htm" TargetMode="External"/><Relationship Id="rId204" Type="http://schemas.openxmlformats.org/officeDocument/2006/relationships/hyperlink" Target="http://www.sec.gov/Archives/edgar/data/1422142/000119312521257910/d119681dex1011.htm" TargetMode="External"/><Relationship Id="rId205" Type="http://schemas.openxmlformats.org/officeDocument/2006/relationships/hyperlink" Target="http://www.sec.gov/Archives/edgar/data/1422142/000156459021055958/aadi-ex1013_331.htm" TargetMode="External"/><Relationship Id="rId206" Type="http://schemas.openxmlformats.org/officeDocument/2006/relationships/hyperlink" Target="http://www.sec.gov/Archives/edgar/data/1422142/000156459021055958/aadi-ex1014_329.htm" TargetMode="External"/><Relationship Id="rId207" Type="http://schemas.openxmlformats.org/officeDocument/2006/relationships/hyperlink" Target="https://www.sec.gov/Archives/edgar/data/1422142/000162828023009583/bresunsetcoastllc-office.htm" TargetMode="External"/><Relationship Id="rId208" Type="http://schemas.openxmlformats.org/officeDocument/2006/relationships/hyperlink" Target="http://www.sec.gov/Archives/edgar/data/1422142/000156459021055958/aadi-ex1015_224.htm" TargetMode="External"/><Relationship Id="rId209" Type="http://schemas.openxmlformats.org/officeDocument/2006/relationships/hyperlink" Target="http://www.sec.gov/Archives/edgar/data/1422142/000156459021055958/aadi-ex1017_330.htm" TargetMode="External"/><Relationship Id="rId210" Type="http://schemas.openxmlformats.org/officeDocument/2006/relationships/hyperlink" Target="http://www.sec.gov/Archives/edgar/data/1422142/000156459018005868/arpo-ex1015_878.htm" TargetMode="External"/><Relationship Id="rId211" Type="http://schemas.openxmlformats.org/officeDocument/2006/relationships/hyperlink" Target="https://www.sec.gov/Archives/edgar/data/1422142/000156459022019856/aadi-ex101_280.htm" TargetMode="External"/><Relationship Id="rId212" Type="http://schemas.openxmlformats.org/officeDocument/2006/relationships/hyperlink" Target="https://www.sec.gov/Archives/edgar/data/1422142/000162828023009583/aadi-20221231xex1021xnegot.htm" TargetMode="External"/><Relationship Id="rId213" Type="http://schemas.openxmlformats.org/officeDocument/2006/relationships/hyperlink" Target="https://www.sec.gov/Archives/edgar/data/1422142/000119312522078484/d266766dex11.htm" TargetMode="External"/><Relationship Id="rId214" Type="http://schemas.openxmlformats.org/officeDocument/2006/relationships/hyperlink" Target="https://www.sec.gov/Archives/edgar/data/1422142/000119312523248461/d561858dex101.htm" TargetMode="External"/><Relationship Id="rId215" Type="http://schemas.openxmlformats.org/officeDocument/2006/relationships/hyperlink" Target="https://www.sec.gov/Archives/edgar/data/1422142/000119312523248461/d561858dex102.htm" TargetMode="External"/><Relationship Id="rId216" Type="http://schemas.openxmlformats.org/officeDocument/2006/relationships/hyperlink" Target="https://www.sec.gov/Archives/edgar/data/1422142/000119312523248461/d561858dex103.htm" TargetMode="External"/><Relationship Id="rId218" Type="http://schemas.openxmlformats.org/officeDocument/2006/relationships/hyperlink" Target="https://www.sec.gov/Archives/edgar/data/1422142/000119312523248461/d561858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2024-03-13T15:56:11Z</dcterms:created>
  <dcterms:modified xsi:type="dcterms:W3CDTF">2024-03-13T15:56:11Z</dcterms:modified>
</cp:coreProperties>
</file>