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80" w:right="1740" w:hanging="3972"/>
        <w:spacing w:after="0" w:line="392"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83" w:lineRule="exact"/>
        <w:rPr>
          <w:sz w:val="24"/>
          <w:szCs w:val="24"/>
          <w:color w:val="auto"/>
        </w:rPr>
      </w:pPr>
    </w:p>
    <w:p>
      <w:pPr>
        <w:ind w:left="3140" w:right="17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40" w:type="dxa"/>
            <w:vAlign w:val="bottom"/>
          </w:tcPr>
          <w:p>
            <w:pPr>
              <w:jc w:val="center"/>
              <w:ind w:left="1801"/>
              <w:spacing w:after="0"/>
              <w:rPr>
                <w:sz w:val="20"/>
                <w:szCs w:val="20"/>
                <w:color w:val="auto"/>
              </w:rPr>
            </w:pPr>
            <w:r>
              <w:rPr>
                <w:rFonts w:ascii="Arial" w:cs="Arial" w:eastAsia="Arial" w:hAnsi="Arial"/>
                <w:sz w:val="18"/>
                <w:szCs w:val="18"/>
                <w:b w:val="1"/>
                <w:bCs w:val="1"/>
                <w:color w:val="auto"/>
                <w:w w:val="91"/>
              </w:rPr>
              <w:t>Delaware</w:t>
            </w: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20" w:type="dxa"/>
            <w:vAlign w:val="bottom"/>
          </w:tcPr>
          <w:p>
            <w:pPr>
              <w:jc w:val="center"/>
              <w:ind w:right="1904"/>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3840" w:type="dxa"/>
            <w:vAlign w:val="bottom"/>
          </w:tcPr>
          <w:p>
            <w:pPr>
              <w:jc w:val="center"/>
              <w:ind w:left="182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7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720" w:type="dxa"/>
            <w:vAlign w:val="bottom"/>
          </w:tcPr>
          <w:p>
            <w:pPr>
              <w:jc w:val="center"/>
              <w:ind w:right="190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840" w:type="dxa"/>
            <w:vAlign w:val="bottom"/>
          </w:tcPr>
          <w:p>
            <w:pPr>
              <w:jc w:val="center"/>
              <w:ind w:left="1801"/>
              <w:spacing w:after="0"/>
              <w:rPr>
                <w:sz w:val="20"/>
                <w:szCs w:val="20"/>
                <w:color w:val="auto"/>
              </w:rPr>
            </w:pPr>
            <w:r>
              <w:rPr>
                <w:rFonts w:ascii="Arial" w:cs="Arial" w:eastAsia="Arial" w:hAnsi="Arial"/>
                <w:sz w:val="13"/>
                <w:szCs w:val="13"/>
                <w:b w:val="1"/>
                <w:bCs w:val="1"/>
                <w:color w:val="auto"/>
                <w:w w:val="88"/>
              </w:rPr>
              <w:t>incorporation or organization)</w:t>
            </w: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20" w:type="dxa"/>
            <w:vAlign w:val="bottom"/>
          </w:tcPr>
          <w:p>
            <w:pPr>
              <w:jc w:val="center"/>
              <w:ind w:right="1904"/>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3840" w:type="dxa"/>
            <w:vAlign w:val="bottom"/>
          </w:tcPr>
          <w:p>
            <w:pPr>
              <w:jc w:val="center"/>
              <w:ind w:left="1801"/>
              <w:spacing w:after="0"/>
              <w:rPr>
                <w:sz w:val="20"/>
                <w:szCs w:val="20"/>
                <w:color w:val="auto"/>
              </w:rPr>
            </w:pPr>
            <w:r>
              <w:rPr>
                <w:rFonts w:ascii="Arial" w:cs="Arial" w:eastAsia="Arial" w:hAnsi="Arial"/>
                <w:sz w:val="18"/>
                <w:szCs w:val="18"/>
                <w:b w:val="1"/>
                <w:bCs w:val="1"/>
                <w:color w:val="auto"/>
                <w:w w:val="92"/>
              </w:rPr>
              <w:t>9987 Carver Road</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3840" w:type="dxa"/>
            <w:vAlign w:val="bottom"/>
          </w:tcPr>
          <w:p>
            <w:pPr>
              <w:jc w:val="center"/>
              <w:ind w:left="1821"/>
              <w:spacing w:after="0"/>
              <w:rPr>
                <w:sz w:val="20"/>
                <w:szCs w:val="20"/>
                <w:color w:val="auto"/>
              </w:rPr>
            </w:pPr>
            <w:r>
              <w:rPr>
                <w:rFonts w:ascii="Arial" w:cs="Arial" w:eastAsia="Arial" w:hAnsi="Arial"/>
                <w:sz w:val="18"/>
                <w:szCs w:val="18"/>
                <w:b w:val="1"/>
                <w:bCs w:val="1"/>
                <w:color w:val="auto"/>
                <w:w w:val="95"/>
              </w:rPr>
              <w:t>Cincinnati, OH</w:t>
            </w: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20" w:type="dxa"/>
            <w:vAlign w:val="bottom"/>
          </w:tcPr>
          <w:p>
            <w:pPr>
              <w:jc w:val="center"/>
              <w:ind w:right="1904"/>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7700" w:type="dxa"/>
            <w:vAlign w:val="bottom"/>
            <w:gridSpan w:val="4"/>
          </w:tcPr>
          <w:p>
            <w:pPr>
              <w:jc w:val="center"/>
              <w:ind w:right="19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720" w:type="dxa"/>
            <w:vAlign w:val="bottom"/>
          </w:tcPr>
          <w:p>
            <w:pPr>
              <w:jc w:val="center"/>
              <w:ind w:right="1904"/>
              <w:spacing w:after="0"/>
              <w:rPr>
                <w:sz w:val="20"/>
                <w:szCs w:val="20"/>
                <w:color w:val="auto"/>
              </w:rPr>
            </w:pPr>
            <w:r>
              <w:rPr>
                <w:rFonts w:ascii="Arial" w:cs="Arial" w:eastAsia="Arial" w:hAnsi="Arial"/>
                <w:sz w:val="13"/>
                <w:szCs w:val="13"/>
                <w:b w:val="1"/>
                <w:bCs w:val="1"/>
                <w:color w:val="auto"/>
                <w:w w:val="90"/>
              </w:rPr>
              <w:t>(Zip Code)</w:t>
            </w:r>
          </w:p>
        </w:tc>
      </w:tr>
      <w:tr>
        <w:trPr>
          <w:trHeight w:val="313"/>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(513) 985-1920</w:t>
            </w:r>
          </w:p>
        </w:tc>
      </w:tr>
      <w:tr>
        <w:trPr>
          <w:trHeight w:val="135"/>
        </w:trPr>
        <w:tc>
          <w:tcPr>
            <w:tcW w:w="3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720" w:type="dxa"/>
            <w:vAlign w:val="bottom"/>
          </w:tcPr>
          <w:p>
            <w:pPr>
              <w:spacing w:after="0"/>
              <w:rPr>
                <w:sz w:val="11"/>
                <w:szCs w:val="11"/>
                <w:color w:val="auto"/>
              </w:rPr>
            </w:pPr>
          </w:p>
        </w:tc>
      </w:tr>
      <w:tr>
        <w:trPr>
          <w:trHeight w:val="298"/>
        </w:trPr>
        <w:tc>
          <w:tcPr>
            <w:tcW w:w="3840" w:type="dxa"/>
            <w:vAlign w:val="bottom"/>
          </w:tcPr>
          <w:p>
            <w:pPr>
              <w:spacing w:after="0"/>
              <w:rPr>
                <w:sz w:val="24"/>
                <w:szCs w:val="24"/>
                <w:color w:val="auto"/>
              </w:rPr>
            </w:pPr>
          </w:p>
        </w:tc>
        <w:tc>
          <w:tcPr>
            <w:tcW w:w="386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20" w:type="dxa"/>
            <w:vAlign w:val="bottom"/>
          </w:tcPr>
          <w:p>
            <w:pPr>
              <w:spacing w:after="0"/>
              <w:rPr>
                <w:sz w:val="24"/>
                <w:szCs w:val="24"/>
                <w:color w:val="auto"/>
              </w:rPr>
            </w:pPr>
          </w:p>
        </w:tc>
      </w:tr>
      <w:tr>
        <w:trPr>
          <w:trHeight w:val="209"/>
        </w:trPr>
        <w:tc>
          <w:tcPr>
            <w:tcW w:w="3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740" w:type="dxa"/>
            <w:vAlign w:val="bottom"/>
            <w:tcBorders>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6"/>
                <w:szCs w:val="16"/>
                <w:color w:val="auto"/>
                <w:w w:val="93"/>
              </w:rPr>
              <w:t>Trading Symbol(s)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3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74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w w:val="96"/>
              </w:rPr>
              <w:t>ARPO</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200" w:lineRule="exact"/>
        <w:rPr>
          <w:sz w:val="24"/>
          <w:szCs w:val="24"/>
          <w:color w:val="auto"/>
        </w:rPr>
      </w:pPr>
    </w:p>
    <w:p>
      <w:pPr>
        <w:spacing w:after="0" w:line="209" w:lineRule="exact"/>
        <w:rPr>
          <w:sz w:val="24"/>
          <w:szCs w:val="24"/>
          <w:color w:val="auto"/>
        </w:rPr>
      </w:pPr>
    </w:p>
    <w:p>
      <w:pPr>
        <w:ind w:right="1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20" w:firstLine="51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ind w:right="4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00" w:lineRule="exact"/>
        <w:rPr>
          <w:sz w:val="24"/>
          <w:szCs w:val="24"/>
          <w:color w:val="auto"/>
        </w:rPr>
      </w:pPr>
    </w:p>
    <w:p>
      <w:pPr>
        <w:ind w:right="240" w:firstLine="518"/>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207" w:lineRule="exact"/>
        <w:tabs>
          <w:tab w:leader="none" w:pos="8020" w:val="left"/>
          <w:tab w:leader="none" w:pos="8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As of August 6, 2019, the registrant had 40,588,004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382905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183"/>
        </w:trPr>
        <w:tc>
          <w:tcPr>
            <w:tcW w:w="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0"/>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560" w:type="dxa"/>
            <w:vAlign w:val="bottom"/>
            <w:gridSpan w:val="1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60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2019 (Unaudited) and December 31,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 Three and Six Months Ended June 30, 2019 and 2018</w:t>
              </w:r>
            </w:hyperlink>
          </w:p>
        </w:tc>
        <w:tc>
          <w:tcPr>
            <w:tcW w:w="50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8700" w:type="dxa"/>
            <w:vAlign w:val="bottom"/>
            <w:tcBorders>
              <w:top w:val="single" w:sz="8" w:color="0000EE"/>
            </w:tcBorders>
            <w:gridSpan w:val="17"/>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Stockholders’ Equity – Three and Six Months Ended June 30, 2019 and 2018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Six Months Ended June 30, 2019 and 2018 Unaudited)</w:t>
              </w:r>
            </w:hyperlink>
          </w:p>
        </w:tc>
        <w:tc>
          <w:tcPr>
            <w:tcW w:w="1500" w:type="dxa"/>
            <w:vAlign w:val="bottom"/>
            <w:tcBorders>
              <w:top w:val="single" w:sz="8" w:color="0000EE"/>
            </w:tcBorders>
          </w:tcPr>
          <w:p>
            <w:pPr>
              <w:spacing w:after="0"/>
              <w:rPr>
                <w:sz w:val="18"/>
                <w:szCs w:val="18"/>
                <w:color w:val="auto"/>
              </w:rPr>
            </w:pPr>
          </w:p>
        </w:tc>
        <w:tc>
          <w:tcPr>
            <w:tcW w:w="60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5040" w:type="dxa"/>
            <w:vAlign w:val="bottom"/>
            <w:gridSpan w:val="6"/>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50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Controls and Procedures</w:t>
              </w:r>
            </w:hyperlink>
          </w:p>
        </w:tc>
        <w:tc>
          <w:tcPr>
            <w:tcW w:w="816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gridSpan w:val="2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94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620" w:type="dxa"/>
            <w:vAlign w:val="bottom"/>
            <w:gridSpan w:val="1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Unregistered Sales of Equity Securities and Use of Proceeds</w:t>
              </w:r>
            </w:hyperlink>
          </w:p>
        </w:tc>
        <w:tc>
          <w:tcPr>
            <w:tcW w:w="56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Defaults Upon Senior Securities</w:t>
              </w:r>
            </w:hyperlink>
          </w:p>
        </w:tc>
        <w:tc>
          <w:tcPr>
            <w:tcW w:w="762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Mine Safety Disclosures</w:t>
              </w:r>
            </w:hyperlink>
          </w:p>
        </w:tc>
        <w:tc>
          <w:tcPr>
            <w:tcW w:w="8180" w:type="dxa"/>
            <w:vAlign w:val="bottom"/>
            <w:gridSpan w:val="1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8640" w:type="dxa"/>
            <w:vAlign w:val="bottom"/>
            <w:gridSpan w:val="16"/>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92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48,157,010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368,048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264,305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48,789,363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63,984,083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297,618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472,135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49,600,076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64,123,492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3,402,257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Current portion of operating lease liability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193,284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3,595,541</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288,055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3,883,596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Common stock, $0.0001 par value per share; 300,000,000 shares authorized and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40,588,004 shares issued and outstanding at June 30, 2019 and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December 31, 2018.</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178,853,870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177,621,807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(133,141,449)</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(118,959,291)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45,716,480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58,666,575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49,600,076</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64,123,492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105"/>
              <w:spacing w:after="0" w:line="155" w:lineRule="exact"/>
              <w:rPr>
                <w:sz w:val="20"/>
                <w:szCs w:val="20"/>
                <w:color w:val="auto"/>
              </w:rPr>
            </w:pPr>
            <w:r>
              <w:rPr>
                <w:rFonts w:ascii="Arial" w:cs="Arial" w:eastAsia="Arial" w:hAnsi="Arial"/>
                <w:sz w:val="14"/>
                <w:szCs w:val="14"/>
                <w:i w:val="1"/>
                <w:iCs w:val="1"/>
                <w:color w:val="auto"/>
              </w:rPr>
              <w:t>(unaudited)</w:t>
            </w: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4"/>
          </w:tcPr>
          <w:p>
            <w:pPr>
              <w:jc w:val="right"/>
              <w:ind w:right="65"/>
              <w:spacing w:after="0" w:line="155" w:lineRule="exact"/>
              <w:rPr>
                <w:sz w:val="20"/>
                <w:szCs w:val="20"/>
                <w:color w:val="auto"/>
              </w:rPr>
            </w:pPr>
            <w:r>
              <w:rPr>
                <w:rFonts w:ascii="Arial" w:cs="Arial" w:eastAsia="Arial" w:hAnsi="Arial"/>
                <w:sz w:val="14"/>
                <w:szCs w:val="14"/>
                <w:i w:val="1"/>
                <w:iCs w:val="1"/>
                <w:color w:val="auto"/>
              </w:rPr>
              <w:t>(unaudited)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 and other</w:t>
            </w:r>
          </w:p>
        </w:tc>
        <w:tc>
          <w:tcPr>
            <w:tcW w:w="8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1,333,333</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2,264,255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4,228,934</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7,850,506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2,799,570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3,140,854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6,054,612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6,588,690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915,094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915,094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5,978,919</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7,369,788</w:t>
            </w: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14,820,212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14,846,436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(5,978,919)</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(6,036,455)</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(14,820,212)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(13,513,103)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4,924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290,379</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46,464</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623,499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295,303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46,464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643,771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(5,683,616)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(5,989,991)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(14,176,441)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(13,415,523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86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(0.14)</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FF0FC"/>
            </w:tcBorders>
            <w:shd w:val="clear" w:color="auto" w:fill="CFF0FC"/>
          </w:tcPr>
          <w:p>
            <w:pPr>
              <w:ind w:left="240"/>
              <w:spacing w:after="0" w:line="195" w:lineRule="exact"/>
              <w:rPr>
                <w:sz w:val="20"/>
                <w:szCs w:val="20"/>
                <w:color w:val="auto"/>
              </w:rPr>
            </w:pPr>
            <w:r>
              <w:rPr>
                <w:rFonts w:ascii="Arial" w:cs="Arial" w:eastAsia="Arial" w:hAnsi="Arial"/>
                <w:sz w:val="18"/>
                <w:szCs w:val="18"/>
                <w:color w:val="auto"/>
              </w:rPr>
              <w:t>Weighted average number of common shares used</w:t>
            </w:r>
          </w:p>
        </w:tc>
        <w:tc>
          <w:tcPr>
            <w:tcW w:w="5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 computing net and comprehensive loss</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per share, basic and diluted</w:t>
            </w:r>
          </w:p>
        </w:tc>
        <w:tc>
          <w:tcPr>
            <w:tcW w:w="5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27,340,914</w:t>
            </w:r>
          </w:p>
        </w:tc>
        <w:tc>
          <w:tcPr>
            <w:tcW w:w="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27,194,028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2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For the Three and Six Months Ended June 30, 2019 (unaudited)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48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2019</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177,621,807</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(118,959,291)</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58,666,575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60"/>
              <w:spacing w:after="0" w:line="143" w:lineRule="exact"/>
              <w:rPr>
                <w:sz w:val="20"/>
                <w:szCs w:val="20"/>
                <w:color w:val="auto"/>
              </w:rPr>
            </w:pPr>
            <w:r>
              <w:rPr>
                <w:rFonts w:ascii="Arial" w:cs="Arial" w:eastAsia="Arial" w:hAnsi="Arial"/>
                <w:sz w:val="14"/>
                <w:szCs w:val="14"/>
                <w:color w:val="auto"/>
              </w:rPr>
              <w:t>Cumulative effect of change in</w:t>
            </w: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360"/>
              <w:spacing w:after="0"/>
              <w:rPr>
                <w:sz w:val="20"/>
                <w:szCs w:val="20"/>
                <w:color w:val="auto"/>
              </w:rPr>
            </w:pPr>
            <w:r>
              <w:rPr>
                <w:rFonts w:ascii="Arial" w:cs="Arial" w:eastAsia="Arial" w:hAnsi="Arial"/>
                <w:sz w:val="14"/>
                <w:szCs w:val="14"/>
                <w:color w:val="auto"/>
              </w:rPr>
              <w:t>accounting principle</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621,685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(8,492,825)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(8,492,825)</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178,249,209</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(127,457,833)</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50,795,435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604,661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360"/>
              <w:spacing w:after="0"/>
              <w:rPr>
                <w:sz w:val="20"/>
                <w:szCs w:val="20"/>
                <w:color w:val="auto"/>
              </w:rPr>
            </w:pPr>
            <w:r>
              <w:rPr>
                <w:rFonts w:ascii="Arial" w:cs="Arial" w:eastAsia="Arial" w:hAnsi="Arial"/>
                <w:sz w:val="14"/>
                <w:szCs w:val="14"/>
                <w:color w:val="auto"/>
              </w:rPr>
              <w:t>expense</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604,661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and comprehensive loss</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(5,683,616)</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(5,683,616)</w:t>
            </w:r>
          </w:p>
        </w:tc>
        <w:tc>
          <w:tcPr>
            <w:tcW w:w="0" w:type="dxa"/>
            <w:vAlign w:val="bottom"/>
          </w:tcPr>
          <w:p>
            <w:pPr>
              <w:spacing w:after="0"/>
              <w:rPr>
                <w:sz w:val="1"/>
                <w:szCs w:val="1"/>
                <w:color w:val="auto"/>
              </w:rPr>
            </w:pPr>
          </w:p>
        </w:tc>
      </w:tr>
      <w:tr>
        <w:trPr>
          <w:trHeight w:val="156"/>
        </w:trPr>
        <w:tc>
          <w:tcPr>
            <w:tcW w:w="3260" w:type="dxa"/>
            <w:vAlign w:val="bottom"/>
          </w:tcPr>
          <w:p>
            <w:pPr>
              <w:spacing w:after="0" w:line="155" w:lineRule="exact"/>
              <w:rPr>
                <w:sz w:val="20"/>
                <w:szCs w:val="20"/>
                <w:color w:val="auto"/>
              </w:rPr>
            </w:pPr>
            <w:r>
              <w:rPr>
                <w:rFonts w:ascii="Arial" w:cs="Arial" w:eastAsia="Arial" w:hAnsi="Arial"/>
                <w:sz w:val="14"/>
                <w:szCs w:val="14"/>
                <w:color w:val="auto"/>
              </w:rPr>
              <w:t>Balance at June 30, 2019</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40,588,004</w:t>
            </w: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4,059</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178,853,870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(133,141,449)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45,716,480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For the Three and Six Months Ended June 30, 2018 (unaudited)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48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2018</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27,070,038</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125,995,438</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(108,562,656)</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17,435,489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Issuance of restricted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60,000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16,802</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Forfeiture of restricted stock</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(741)</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1,079,721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(7,425,532)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(7,425,532)</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2018</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27,146,099</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2,715</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127,097,143</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(115,988,188)</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11,111,670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net</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of issuance costs of $3,093,489</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11,688,000</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1,169</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41,904,143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41,905,312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Forfeiture of restricted stock</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(1,592)</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877,757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877,757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(5,989,991)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(5,989,991)</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2018</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38,833,507</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3,884</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169,880,703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(121,978,179)</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47,906,408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gridSpan w:val="4"/>
          </w:tcPr>
          <w:p>
            <w:pPr>
              <w:jc w:val="right"/>
              <w:ind w:right="350"/>
              <w:spacing w:after="0"/>
              <w:rPr>
                <w:sz w:val="20"/>
                <w:szCs w:val="20"/>
                <w:color w:val="auto"/>
              </w:rPr>
            </w:pPr>
            <w:r>
              <w:rPr>
                <w:rFonts w:ascii="Arial" w:cs="Arial" w:eastAsia="Arial" w:hAnsi="Arial"/>
                <w:sz w:val="18"/>
                <w:szCs w:val="18"/>
                <w:i w:val="1"/>
                <w:iCs w:val="1"/>
                <w:color w:val="auto"/>
              </w:rPr>
              <w:t>(unaudited)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loss</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(14,176,441)</w:t>
            </w:r>
          </w:p>
        </w:tc>
        <w:tc>
          <w:tcPr>
            <w:tcW w:w="84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(13,415,523)</w:t>
            </w:r>
          </w:p>
        </w:tc>
        <w:tc>
          <w:tcPr>
            <w:tcW w:w="0" w:type="dxa"/>
            <w:vAlign w:val="bottom"/>
          </w:tcPr>
          <w:p>
            <w:pPr>
              <w:spacing w:after="0"/>
              <w:rPr>
                <w:sz w:val="1"/>
                <w:szCs w:val="1"/>
                <w:color w:val="auto"/>
              </w:rPr>
            </w:pPr>
          </w:p>
        </w:tc>
      </w:tr>
      <w:tr>
        <w:trPr>
          <w:trHeight w:val="215"/>
        </w:trPr>
        <w:tc>
          <w:tcPr>
            <w:tcW w:w="7060" w:type="dxa"/>
            <w:vAlign w:val="bottom"/>
          </w:tcPr>
          <w:p>
            <w:pPr>
              <w:ind w:left="260"/>
              <w:spacing w:after="0"/>
              <w:rPr>
                <w:sz w:val="20"/>
                <w:szCs w:val="20"/>
                <w:color w:val="auto"/>
              </w:rPr>
            </w:pPr>
            <w:r>
              <w:rPr>
                <w:rFonts w:ascii="Arial" w:cs="Arial" w:eastAsia="Arial" w:hAnsi="Arial"/>
                <w:sz w:val="18"/>
                <w:szCs w:val="18"/>
                <w:color w:val="auto"/>
              </w:rPr>
              <w:t>Adjustments to reconcile net and comprehensive loss to net</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cash used in (provided by) operating activities: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33,503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1,226,346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Prepaid research and development contracts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386,344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(115,705)</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351,376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(2,045,456)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(626,707)</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18,666,667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(14,224,328)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Purchase of furniture and equipment</w:t>
            </w:r>
          </w:p>
        </w:tc>
        <w:tc>
          <w:tcPr>
            <w:tcW w:w="4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(232,672)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(232,672)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44,998,801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paid in connection with the sale of common stock</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(3,093,489)</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41,928,964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(14,457,000)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48,519,101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62,614,010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20,264,109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six months ended</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48,157,010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68,783,210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Aerpio Pharmaceuticals, Inc. (the “Company”) is a biopharmaceutical company focused on developing compounds that activate Tie2 to treat ocular diseases and complications of diabetes. In March 2019, the Company announced the top line results of its AKB-9778 Phase 2b (TIME-2b) clinical trial initiated in June 2017 for the treatment of non-proliferative diabetic retinopathy, or NPDR, a disease characterized by progressive compromise of blood vessels in the back of the eye. While the Company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in the study eye, compared to placebo. However, the Company did see encouraging data in a number of prespecified, key secondary endpoints related to the changes in the Urine Albumin-Creatinine Ratio, a measure of kidney function, and in reducing intraocular pressure. As a result, the Company plans to advance a topical drop formulation of AKB-9778 into clinical development as a potential treatment for open-angle glaucoma and initiated a Phase 1b clinical trial in the second quarter of 2019 with results anticipated by the end of 2019.</w:t>
      </w:r>
    </w:p>
    <w:p>
      <w:pPr>
        <w:spacing w:after="0" w:line="5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addition, the Company’s pipeline program, ARP-1536, a humanized monoclonal antibody directed at the same target as AKB-9778 is in preclinical development. The Company is evaluating development options for ARP-1536, including subcutaneous injection for the treatment of diabetic vascular complications.</w:t>
      </w:r>
    </w:p>
    <w:p>
      <w:pPr>
        <w:spacing w:after="0" w:line="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was incorporated as Zeta Acquisition Corp. II (“Zeta”) in the State of Delaware on November 16, 2007. Zeta was a “shell company” (as defined in Rule 12b-2 of the Securities Exchange Act of 1934, as amended). 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 owned subsidiary.</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effective time of the Merger, the shares of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continued the existing business operations of Aerpio as a public reporting company under the name Aerpio Pharmaceuticals, Inc. Immediately after the Merger, on March 15, 2017, Aerpio converted into a Delaware limited liability company (the “Conversion”).</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“2017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2017 Offering, and (ii) all members of the Company’s executive management and Board of Directors are from Aerpio. In accordance with “reverse merger” or “reverse acquisition” accounting treatment, the unaudited condensed consolidated financial statements for the periods ended June 30, 2019 and 2018, include the accounts of the Company and its wholly owned subsidiary, Aerpio Therapeutics, LLC.</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to date has been primarily limited to license revenue from Gossamer Bio., Inc, during 2018. Future revenue is dependent on the terms of the license agreement with Gossamer Bio., Inc as further described in Note 11. The Company’s product candidates are subject to long development cycles, and there is no assurance the Company will be able to successfully develop, obtain regulatory approval for, or market its product candidates.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$48.2 million at June 30, 2019 and financial condition as of this Quarterly Report on Form 10-Q, we believe our existing cash and cash equivalent will be sufficient to fund currently planned operations at least through the second quarter of 2021.</w:t>
      </w:r>
    </w:p>
    <w:p>
      <w:pPr>
        <w:spacing w:after="0" w:line="209" w:lineRule="exact"/>
        <w:rPr>
          <w:sz w:val="20"/>
          <w:szCs w:val="20"/>
          <w:color w:val="auto"/>
        </w:rPr>
      </w:pPr>
    </w:p>
    <w:p>
      <w:pPr>
        <w:ind w:right="782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00"/>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All adjustments are of a normal and recurring in nature. These unaudited condensed consolidated financial statements should be read in conjunction with the consolidated financial statements of the Company for the year ended December 31, 2018, included in the Annual Report on Form 10-K filed with the SEC on March 7, 2019. The results of operations for the interim periods are not necessarily indicative of results of operations for a full year. The Company’s condensed consolidated financial statements are stated in U.S. Dollars.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grant date fair value of the Company’s stock-based awards, accrued expenses, revenue recognition and income taxes.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original maturities of three months or less at the time of purchase. The Company does maintain balances with its banks in excess of federally insured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Upfront License Fees: </w:t>
      </w:r>
      <w:r>
        <w:rPr>
          <w:rFonts w:ascii="Arial" w:cs="Arial" w:eastAsia="Arial" w:hAnsi="Arial"/>
          <w:sz w:val="17"/>
          <w:szCs w:val="17"/>
          <w:color w:val="auto"/>
        </w:rPr>
        <w:t>If a license to the Company’s intellectual property is determined to be distinct from the other performance obligations identified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 w:name="page10"/>
    <w:bookmarkEnd w:id="9"/>
    <w:p>
      <w:pPr>
        <w:ind w:right="60"/>
        <w:spacing w:after="0" w:line="288" w:lineRule="auto"/>
        <w:rPr>
          <w:sz w:val="20"/>
          <w:szCs w:val="20"/>
          <w:color w:val="auto"/>
        </w:rPr>
      </w:pPr>
      <w:r>
        <w:rPr>
          <w:rFonts w:ascii="Arial" w:cs="Arial" w:eastAsia="Arial" w:hAnsi="Arial"/>
          <w:sz w:val="16"/>
          <w:szCs w:val="16"/>
          <w:i w:val="1"/>
          <w:iCs w:val="1"/>
          <w:color w:val="auto"/>
        </w:rPr>
        <w:t>Development Milestone Payments</w:t>
      </w:r>
      <w:r>
        <w:rPr>
          <w:rFonts w:ascii="Arial" w:cs="Arial" w:eastAsia="Arial" w:hAnsi="Arial"/>
          <w:sz w:val="16"/>
          <w:szCs w:val="16"/>
          <w:color w:val="auto"/>
        </w:rPr>
        <w:t>: Depending on facts and circumstances, the Company may conclude it is appropriate to include the milestone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6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Sales-based Milestone and Royalty Payments: </w:t>
      </w:r>
      <w:r>
        <w:rPr>
          <w:rFonts w:ascii="Arial" w:cs="Arial" w:eastAsia="Arial" w:hAnsi="Arial"/>
          <w:sz w:val="16"/>
          <w:szCs w:val="16"/>
          <w:color w:val="auto"/>
        </w:rPr>
        <w:t>The Company’s collaborators may be required to pay the Company sales-based milestone payments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6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or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2019 and December 31, 2018, the Company does not have any uncertain tax positions. The Company recognizes interest and penalties related to uncertain tax positions, if any exist, in income tax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Net and Comprehensive Loss per Share</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basic net and comprehensive loss per share is calculated by dividing the net and comprehensive loss by the weighted average number of shares of common stock outstanding for the period. The diluted net and comprehensive loss per share attributable to common stockholders is computed by adjusting the weighted average shares outstanding for the dilutive effect of common stock equivalents outstanding for the period, determined using the treasury stock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its stock-based compensation awards in accordance with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or ASC</w:t>
      </w:r>
    </w:p>
    <w:p>
      <w:pPr>
        <w:spacing w:after="0" w:line="35" w:lineRule="exact"/>
        <w:rPr>
          <w:sz w:val="20"/>
          <w:szCs w:val="20"/>
          <w:color w:val="auto"/>
        </w:rPr>
      </w:pPr>
    </w:p>
    <w:p>
      <w:pPr>
        <w:ind w:right="40" w:firstLine="8"/>
        <w:spacing w:after="0" w:line="253" w:lineRule="auto"/>
        <w:tabs>
          <w:tab w:leader="none" w:pos="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ASC 718 requires all stock-based payments to employees, including grants of employee stock options</w:t>
      </w:r>
      <w:r>
        <w:rPr>
          <w:rFonts w:ascii="Arial" w:cs="Arial" w:eastAsia="Arial" w:hAnsi="Arial"/>
          <w:sz w:val="18"/>
          <w:szCs w:val="18"/>
          <w:color w:val="auto"/>
          <w:strike w:val="1"/>
        </w:rPr>
        <w:t>,</w:t>
      </w:r>
      <w:r>
        <w:rPr>
          <w:rFonts w:ascii="Arial" w:cs="Arial" w:eastAsia="Arial" w:hAnsi="Arial"/>
          <w:sz w:val="18"/>
          <w:szCs w:val="18"/>
          <w:color w:val="auto"/>
        </w:rPr>
        <w:t xml:space="preserve"> to be recognized in the condensed consolidated statements of operations and comprehensive net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Due to the historical lack of significant trading on a public market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or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900" w:right="40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spacing w:after="0" w:line="276"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six months ended June 30, 2019 or 2018. The assets of the Company measured at fair value on a recurring basis as of June 30, 2019 and December 31, 2018, are summarized below:</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Fair Value Measurements Using</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June 30, 2019</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48,157,010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48,157,010</w:t>
            </w:r>
          </w:p>
        </w:tc>
        <w:tc>
          <w:tcPr>
            <w:tcW w:w="100" w:type="dxa"/>
            <w:vAlign w:val="bottom"/>
            <w:shd w:val="clear" w:color="auto" w:fill="CFF0FC"/>
          </w:tcPr>
          <w:p>
            <w:pPr>
              <w:spacing w:after="0"/>
              <w:rPr>
                <w:sz w:val="19"/>
                <w:szCs w:val="19"/>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48,157,010</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48,157,010</w:t>
            </w:r>
          </w:p>
        </w:tc>
        <w:tc>
          <w:tcPr>
            <w:tcW w:w="100" w:type="dxa"/>
            <w:vAlign w:val="bottom"/>
            <w:tcBorders>
              <w:bottom w:val="single" w:sz="8" w:color="CFF0FC"/>
            </w:tcBorders>
          </w:tcPr>
          <w:p>
            <w:pPr>
              <w:spacing w:after="0"/>
              <w:rPr>
                <w:sz w:val="22"/>
                <w:szCs w:val="22"/>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62,614,010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62,614,010</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62,614,010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62,614,010</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June 30, 2019 and December 31, 2018,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and adopted by the Company as of the specified effective date. Unless otherwise discussed, the Company believes the impact of recently issued standards that are not yet effective will not have a material impact on its condensed consolidated financial position or results of operations upon adoption.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ind w:right="20"/>
        <w:spacing w:after="0" w:line="273" w:lineRule="auto"/>
        <w:rPr>
          <w:sz w:val="20"/>
          <w:szCs w:val="20"/>
          <w:color w:val="auto"/>
        </w:rPr>
      </w:pPr>
      <w:r>
        <w:rPr>
          <w:rFonts w:ascii="Arial" w:cs="Arial" w:eastAsia="Arial" w:hAnsi="Arial"/>
          <w:sz w:val="17"/>
          <w:szCs w:val="17"/>
          <w:color w:val="auto"/>
        </w:rPr>
        <w:t xml:space="preserve">In May 2014, the FASB issued amended guidance for revenue recognition,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This ASU outlines a single comprehensive model for entities to use in accounting for revenue arising from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The core principle of the guidance is that an entity should recognize revenue for the transfer of promised goods or services to customers in an amount that reflects the consideration to which the entity expects to be entitled in exchange for those goods and services. Additionally, the ASU requires improved disclosure to help users of financial statements better understand the nature, amount, timing and uncertainty of revenue that is recognized. The Company adopted the new guidance on January 1, 2018, as it relates to the Agreement discussed in Note 11.</w:t>
      </w:r>
    </w:p>
    <w:p>
      <w:pPr>
        <w:spacing w:after="0" w:line="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to enhance the transparency and comparability of financial reporting related to leasing arrangements. Under this new lease standard, leases are required to be recognized on the balance sheet as right-of-use assets and operating lease liabilities. Disclosure requirements have been enhanced with the objective of enabling financial statement users to assess the amount, timing, and uncertainty of cash flows arising from leases. The Company adopted the new guidance on January 1, 2019. See additional discussion in Note 9.</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July 2018, the FASB issued ASU 2018-11, </w:t>
      </w:r>
      <w:r>
        <w:rPr>
          <w:rFonts w:ascii="Arial" w:cs="Arial" w:eastAsia="Arial" w:hAnsi="Arial"/>
          <w:sz w:val="16"/>
          <w:szCs w:val="16"/>
          <w:i w:val="1"/>
          <w:iCs w:val="1"/>
          <w:color w:val="auto"/>
        </w:rPr>
        <w:t>Leases, Targeted Improvements</w:t>
      </w:r>
      <w:r>
        <w:rPr>
          <w:rFonts w:ascii="Arial" w:cs="Arial" w:eastAsia="Arial" w:hAnsi="Arial"/>
          <w:sz w:val="16"/>
          <w:szCs w:val="16"/>
          <w:color w:val="auto"/>
        </w:rPr>
        <w:t xml:space="preserve">, (“ASU 2018-11”), which contains certain amendments to ASU 2016-02 intended to provide relief in implementing the new standard. ASU 2018-11 provides registrants with an option to not restate comparative periods presented in the financial statements. The Company adopted this new standard on January 1, 2019 (the “adoption date”) using a cumulative-effect adjustment on the effective date of the standard, for which comparative periods are presented in accordance with the previous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adopting the new standard, the Company elected to utilize the available package of practical expedients permitted under the transition guidance within the new standard The expedients used by the Company are as follows: (1) allowing an entity to not reassess the lease classification for any expired or existing leases, (2) allowing an entity to not reassess the treatment of initial direct costs as they related to existing leases, and (3) allowing an entity to not reassess whether expired or existing contracts are or contain leases. Additionally, the Company made an accounting policy election to keep leases with a term of 12 months or less off of its condensed consolidated balance sheet. The Company adopted the new guidance on January 1, 2019. See additional discussion in Note 9</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This ASU improves financial reporting for share-based payments issued to nonemployees under ASC 718 by expanding the scope of the employee share-based payments guidance to include share-based payments issued to nonemployees. The amendments in this ASU are effective for public companies for fiscal years beginning after December 31, 2018, including interim periods within that fiscal year. The Company adopted this ASU as of January 1, 2019 and recorded a one-time cumulative adjustment of $5,717 upon adoption.</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134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53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511,190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595,680</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Restructuring accrual (see Note 12)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591,827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264,571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487,923</w:t>
            </w:r>
          </w:p>
        </w:tc>
        <w:tc>
          <w:tcPr>
            <w:tcW w:w="100" w:type="dxa"/>
            <w:vAlign w:val="bottom"/>
            <w:shd w:val="clear" w:color="auto" w:fill="CFF0FC"/>
          </w:tcPr>
          <w:p>
            <w:pPr>
              <w:spacing w:after="0"/>
              <w:rPr>
                <w:sz w:val="19"/>
                <w:szCs w:val="19"/>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Accrued bonus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451,644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1,877,455</w:t>
            </w:r>
          </w:p>
        </w:tc>
        <w:tc>
          <w:tcPr>
            <w:tcW w:w="100" w:type="dxa"/>
            <w:vAlign w:val="bottom"/>
          </w:tcPr>
          <w:p>
            <w:pPr>
              <w:spacing w:after="0"/>
              <w:rPr>
                <w:sz w:val="21"/>
                <w:szCs w:val="2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157,716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Accrued vacation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88,945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90,663</w:t>
            </w:r>
          </w:p>
        </w:tc>
        <w:tc>
          <w:tcPr>
            <w:tcW w:w="100" w:type="dxa"/>
            <w:vAlign w:val="bottom"/>
          </w:tcPr>
          <w:p>
            <w:pPr>
              <w:spacing w:after="0"/>
              <w:rPr>
                <w:sz w:val="19"/>
                <w:szCs w:val="19"/>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1,306,752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2,232,014</w:t>
            </w:r>
          </w:p>
        </w:tc>
        <w:tc>
          <w:tcPr>
            <w:tcW w:w="100" w:type="dxa"/>
            <w:vAlign w:val="bottom"/>
            <w:shd w:val="clear" w:color="auto" w:fill="CFF0FC"/>
          </w:tcPr>
          <w:p>
            <w:pPr>
              <w:spacing w:after="0"/>
              <w:rPr>
                <w:sz w:val="21"/>
                <w:szCs w:val="2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29,612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173,182</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3,402,257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5,456,917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2019 and December 31, 2018, the Company had 300,000,000 shares of authorized common stock with par value of $0.0001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40"/>
        <w:spacing w:after="0" w:line="309"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At June 30, 2019 and December 31, 2018, the Company had warrants outstanding for the purchase of 317,562 shares of the Company’s common stock at an exercise price of $5.00 per share. The warrants have a three-year term and expire on March 15, 2020.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June 30, 2019 and December 31, 2018, the Company had 10,000,000 shares of preferred stock, par value $0.0001 per share, in authorized capital. No preferred stock was issued and outstanding at June 30, 2019 and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March 2019, the Company’s Board of Directors approved a 4% increase, adding 1,623,520 shares to the 2017 Plan, which was effective as of January 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5"/>
          <w:szCs w:val="15"/>
          <w:color w:val="auto"/>
        </w:rPr>
        <w:t>st</w:t>
      </w:r>
      <w:r>
        <w:rPr>
          <w:rFonts w:ascii="Arial" w:cs="Arial" w:eastAsia="Arial" w:hAnsi="Arial"/>
          <w:sz w:val="18"/>
          <w:szCs w:val="18"/>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During the three months ended June 30, 2019 and 2018, option awards to purchase an aggregate of 2,801,600 and 1,515,200 shares of common stock were granted, respectively, and option awards to purchase an aggregate of 4,622,428 and 1,515,200 shares of common stock were granted in the six months ended June 30, 2019 and 2018,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and December 31, 2018, 969,529 and 2,959,562 shares are reserved for issuance under the 2017 Plan,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stock option activity during the six months ended June 30,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3,351,132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4,622,428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(1,201,753)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June 30, 2019</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6,771,807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Expected to vest, June 30, 2019</w:t>
            </w: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June 30, 2019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1,588,576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309" w:lineRule="auto"/>
        <w:rPr>
          <w:sz w:val="20"/>
          <w:szCs w:val="20"/>
          <w:color w:val="auto"/>
        </w:rPr>
      </w:pPr>
      <w:r>
        <w:rPr>
          <w:rFonts w:ascii="Arial" w:cs="Arial" w:eastAsia="Arial" w:hAnsi="Arial"/>
          <w:sz w:val="18"/>
          <w:szCs w:val="18"/>
          <w:color w:val="auto"/>
        </w:rPr>
        <w:t>Aggregate intrinsic value represents the estimated fair value of the Company’s common stock at in excess of the weighted average exercise price multiplied by the number of options outstanding or exercisable.</w:t>
      </w:r>
    </w:p>
    <w:p>
      <w:pPr>
        <w:spacing w:after="0" w:line="3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Compensation expense for stock options was $604,661 and $822,850 for the three months ended June 30, 2019 and 2018, respectively, and $1,226,346 and $1,554,223 for the six months ended June 30, 2019 and 2018, respectively. As of June 30, 2019, there was $5,956,838 of unrecognized compensation cost related to stock options, which is expected to be recognized over a weighted average period of 2.60.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recognized compensation expense for restricted stock of $0 and $54,907 for the three months ended June 30, 2019 and 2018, respectively, and $0 and $403,255 for the six months ended June 30, 2019 and 2018. All restricted stock vested in October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4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73,463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232,794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174,013</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531,198</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762,808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993,552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1,783,465</w:t>
            </w:r>
          </w:p>
        </w:tc>
        <w:tc>
          <w:tcPr>
            <w:tcW w:w="12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604,661</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877,757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1,226,346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1,957,478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months ended June 30, 2019 was $0.62 per share, and $1.11 per share for the six months ended June 30, 2019. The calculation was based on the following assumptions.</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0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5.82</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5.77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2.21%</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2.32%</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65.97%</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65.83%</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and six months ended June 30, 2019 and 2018, due to the Company’s net losses and increases in its deferred tax asset valuation allowance.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Net and Comprehensive Loss per Share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 attributable</w:t>
            </w: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(5,683,616)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(14,176,441)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common stockholders</w:t>
            </w:r>
          </w:p>
        </w:tc>
        <w:tc>
          <w:tcPr>
            <w:tcW w:w="920" w:type="dxa"/>
            <w:vAlign w:val="bottom"/>
            <w:gridSpan w:val="2"/>
            <w:vMerge w:val="continue"/>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(5,989,991)</w:t>
            </w:r>
          </w:p>
        </w:tc>
        <w:tc>
          <w:tcPr>
            <w:tcW w:w="32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(13,415,523)</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Weighted average common shares used</w:t>
            </w: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80"/>
              <w:spacing w:after="0"/>
              <w:rPr>
                <w:sz w:val="20"/>
                <w:szCs w:val="20"/>
                <w:color w:val="auto"/>
              </w:rPr>
            </w:pPr>
            <w:r>
              <w:rPr>
                <w:rFonts w:ascii="Arial" w:cs="Arial" w:eastAsia="Arial" w:hAnsi="Arial"/>
                <w:sz w:val="18"/>
                <w:szCs w:val="18"/>
                <w:color w:val="auto"/>
              </w:rPr>
              <w:t>in computing net and comprehensive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80"/>
              <w:spacing w:after="0"/>
              <w:rPr>
                <w:sz w:val="20"/>
                <w:szCs w:val="20"/>
                <w:color w:val="auto"/>
              </w:rPr>
            </w:pPr>
            <w:r>
              <w:rPr>
                <w:rFonts w:ascii="Arial" w:cs="Arial" w:eastAsia="Arial" w:hAnsi="Arial"/>
                <w:sz w:val="18"/>
                <w:szCs w:val="18"/>
                <w:color w:val="auto"/>
              </w:rPr>
              <w:t>loss per share attributable to common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40,588,004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40,588,004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stockholders, basic and diluted</w:t>
            </w:r>
          </w:p>
        </w:tc>
        <w:tc>
          <w:tcPr>
            <w:tcW w:w="6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27,340,914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27,194,028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Net and comprehensive loss per</w:t>
            </w: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 attributable to common</w:t>
            </w: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(0.35)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 basic and diluted</w:t>
            </w:r>
          </w:p>
        </w:tc>
        <w:tc>
          <w:tcPr>
            <w:tcW w:w="920" w:type="dxa"/>
            <w:vAlign w:val="bottom"/>
            <w:gridSpan w:val="2"/>
            <w:vMerge w:val="continue"/>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32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weighted average common stock equivalents were excluded from the calculation of basic and diluted net and comprehensive loss per share attributable to common stockholders for the periods presented because including them would have had an anti-dilutive effect:</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040" w:type="dxa"/>
            <w:vAlign w:val="bottom"/>
            <w:gridSpan w:val="4"/>
          </w:tcPr>
          <w:p>
            <w:pPr>
              <w:ind w:left="6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9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6,771,807</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3,285,429</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53,223</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317,562</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317,562</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leases certain properties and buildings under various arrangements which provide the right to use the underlying asset and require lease payments for the lease term. Many of the property and building lease agreements obligate the Company to pay real estate taxes, insurance and certain maintenance costs (hereinafter referred to as non-lease components). Certain of the Company’s lease arrangements contain renewal provisions from 1 to 3 years, exercisable at the Company's option. The Company’s lease agreements do not contain any material residual value guarantees or material restrictive covenants.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determines if an arrangement is an operating lease at inception. Leases with an initial term of 12 months or less are not recorded on the balance sheet. All other leases are recorded on the balance sheet with a corresponding operating lease asset, net, representing the right to use the underlying asset for the lease term and the operating lease liabilities representing the obligation to make lease payments arising from the lease.</w:t>
      </w:r>
    </w:p>
    <w:p>
      <w:pPr>
        <w:spacing w:after="0" w:line="57"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condensed consolidated statements of operations and comprehensive loss.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and operating lease liabilities: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Average rent expense</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62,085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124,140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Cash paid for amounts included in</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the measurement of operating lease liabilities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The weighted average remaining lease</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term and discount rate at June 30, 2019</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operating leases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future payments related to operating leases activities are presented in the table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02"/>
              <w:spacing w:after="0"/>
              <w:rPr>
                <w:sz w:val="20"/>
                <w:szCs w:val="20"/>
                <w:color w:val="auto"/>
              </w:rPr>
            </w:pPr>
            <w:r>
              <w:rPr>
                <w:rFonts w:ascii="Arial" w:cs="Arial" w:eastAsia="Arial" w:hAnsi="Arial"/>
                <w:sz w:val="14"/>
                <w:szCs w:val="14"/>
                <w:b w:val="1"/>
                <w:bCs w:val="1"/>
                <w:color w:val="auto"/>
                <w:w w:val="93"/>
              </w:rPr>
              <w:t>2021 and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22"/>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123,354</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239,781</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191,685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Stock Purchase Plan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2019, the Company’s Board of Directors approved an increase of 350,000 shares to the ESPP, which was effective as of January 1, 2019. No shares under the ESPP are outstanding at June 30, 2019 and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w:t>
      </w:r>
    </w:p>
    <w:p>
      <w:pPr>
        <w:spacing w:after="0" w:line="1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24, 2018, the Company entered into a License Agreement (the “Agreement”) with a wholly-owned subsidiary of Gossamer Bio, Inc., GB004, Inc. (collectively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Agreement, Gossamer is obligated to use its commercially reasonable efforts to develop and commercialize licensed products in the United States, two major European countries and Japan for at least one of the initial indications. The Agreement includes an exclusivity provision that prohibits the Company from developing, manufacturing or commercializing, and prohibits Gossamer from clinically developing or commercializing certain HIF stabilizing compounds other than as permitted in the Agreement. Pursuant to the terms of the Agreement, Gossamer made an upfront payment to the Company of $20.0 million on June 28, 2018, which was fully recognized in 2018 (in accordance with ASC 606).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Agreement for an uncured material breach by the other party or upon the bankruptcy or insolvency of the other party. Gossamer may terminate the Agreement in the event Gossamer determines there is a potential safety or efficacy issue with the licensed products. The Company may terminate the Agreement if Gossamer institutes certain actions related to the licensed patents. Under certain termination circumstances, the Company would have worldwide rights to the terminated program.</w:t>
      </w:r>
    </w:p>
    <w:p>
      <w:pPr>
        <w:spacing w:after="0" w:line="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2019 all development milestones, sales-based milestones and royalty payments within the Agreement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April 2019, the Company adopted a realignment plan to reduce operating costs and better align its workforce with the needs of its ongoing business. The realignment plan reduced the Company’s workforce by 11 employees, representing approximately 41% of its workforce. As a result of this realignment plan, the Company recorded employee severance expense of $0.9 million during the three months ended June 30, 2019 . These amounts are included within Restructuring expense in the condensed consolidated statements of operations and comprehensive loss and are expected to be substantially paid in cash by December 31, 2019. The total remaining liability under these severance related actions was $0.6 million as of June 30, 2019 and is included in Accounts payable and accrued expenses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7"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900" w:right="24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including with Gossamer, as well as the expected benefits from such collaboration;</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condensed consolidated financial statements and the notes to those statements included in this Quarterly Report on Form 10-Q for the period ended June 30, 2019.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2018 for a discussion of important factors that could cause actual results to differ materially from the results described in or implied by the forward-looking statements contained in the following discussion and analysis.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a biopharmaceutical company focused on developing compounds that activate Tie2 to treat ocular diseases and diabetic complications.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March 2019, we announced the top line results of the Phase 2b (TIME-2b) clinical trial which we initiated in June 2017 for the treatment of non-proliferative diabetic retinopathy, or NPDR, a disease characterized by progressive compromise of blood vessels in the back of the eye. While we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or DRSS, in the study eye, compared to placebo.</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AKB-9778 showed encouraging data in a number of prespecified, key secondary endpoints, consistent with the observations in the prior Phase 2a (TIME-2) trial related to the changes in the Urine Albumin-Creatinine Ratio or UACR, a measure of kidney function.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AKB-9778 also showed encouraging data for reducing intraocular pressure in primary open angle glaucoma, or POAG, and ocular hypertension. In June 2019, we initiated a double-masked, multiple-ascending dose Phase 1 trial and plan to enroll four cohorts of 12 subjects each. Subjects will receive increasing daily doses of a topical ocular formulation of AKB-9778 or placebo for seven days. The primary endpoint of the trial is ocular safety and tolerability, with intraocular pressure, or IOP, lowering as the key pharmacodynamic endpoint. Topline results are anticipated by the end of 2019.</w:t>
      </w:r>
    </w:p>
    <w:p>
      <w:pPr>
        <w:spacing w:after="0" w:line="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ARP-1536, our humanized monoclonal antibody directed at the same target as AKB-9778, is in preclinical development. We are evaluating development options for ARP-1536, including subcutaneous injection for the treatment of diabetic vascular complications.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2018, we licensed AKB-4924, a selective stabilizer of hypoxia-inducible factor-1 alpha, or HIF-1 alpha to Gossamer Bio, Inc. (“Gossamer”) AKB-4924, (now called GB004), is being developed for the treatment of inflammatory bowel disease (IBD). HIF-1 alpha is involved in mucosal wound healing and the reduction of inflammation in the gastrointestinal tract. Gossamer is currently conducting a multiple ascending dose, or MAD study and is responsible for all remaining development and commercial activities for GB004.</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for the license agreement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transition services or from our product candidates. Our product candidates are subject to long development cycles, and there is no assurance we will be able to successfully develop, obtain regulatory approval for, or market our product candidates. As of June 30, 2019, we had an accumulated deficit of $133.1 million and anticipate incurring additional losses for the next several years.</w:t>
      </w:r>
    </w:p>
    <w:p>
      <w:pPr>
        <w:spacing w:after="0" w:line="8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April 2019, we adopted a realignment plan to reduce operating costs and better align our workforce with the needs of our ongoing business. The realignment plan reduced our workforce by 11 employees, representing approximately 41% of our workforce. As a result of this realignment plan, we recorded severance expense of $0.9 million during the three months ended June 30, 2019. We anticipate that such employee related costs will be paid by the fourth quarter of 2019. The total remaining liability under these severance-related actions was $0.6 million as of June 30, 2019.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60"/>
        <w:spacing w:after="0" w:line="254" w:lineRule="auto"/>
        <w:rPr>
          <w:sz w:val="20"/>
          <w:szCs w:val="20"/>
          <w:color w:val="auto"/>
        </w:rPr>
      </w:pPr>
      <w:r>
        <w:rPr>
          <w:rFonts w:ascii="Arial" w:cs="Arial" w:eastAsia="Arial" w:hAnsi="Arial"/>
          <w:sz w:val="18"/>
          <w:szCs w:val="18"/>
          <w:color w:val="auto"/>
        </w:rPr>
        <w:t>Our primary source of liquidity to date has been through public and private sales of our common stock, redeemable convertible preferred stock, convertible debt and the proceeds from the Gossamer License Agreement.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6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$48.2 million at June 30, 2019 and financial condition as of this Quarterly Report on Form 10-Q, we believe our existing cash and cash equivalent will be sufficient to fund currently planned operations at least through the second quarter of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presented herein. The following discussion and analysis are based on the Company’s condensed consolidated financial statements contained in this Form 10-Q, which we have prepared in accordance with U.S. generally accepted accounting principles. You should read the discussion and analysis together with such condensed consolidated financial statements and the related notes thereto.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relates to the license agreement with Gossamer.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growing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Restructuring expense consists primarily of severance related expenses of employees terminated as a result of the Company’s restructuring efforts. Expenses include continued payroll, benefits and outplacement services (collectively “severance”) as defined and agreed upon by the respective employees’ severance agreement. Total severance was recognized as Restructuring expense on April 2, 2019, the date when employees were notified of the restructuring event. A corresponding restructuring accrual was also recorded and will be reduced as payments are made to the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2019 and 2018</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248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9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 and other</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1,333,333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2,264,255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4,228,934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7,850,506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8,257,746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2,799,570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3,140,854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6,054,612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6,588,690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915,094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915,094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5,978,919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7,369,788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14,820,212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14,846,436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(5,978,919)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(6,036,455)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(14,820,212)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(13,513,103)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290,379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623,499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97,580</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295,303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643,771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97,580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(5,683,616</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(5,989,991</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(14,176,441</w:t>
            </w:r>
          </w:p>
        </w:tc>
        <w:tc>
          <w:tcPr>
            <w:tcW w:w="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(13,415,523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License revenue for the three months ended June 30, 2018 reflects six days of amortization of a $20.0 million upfront payment under the Gossamer license agreement which was recognized as revenue over a ninety-day performance period beginning on June 25, 2018. No such license agreement was executed in 2019, nor were any milestones of the Gossamer license agreement achieved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2,264,255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4,228,934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2,799,570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3,140,854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915,094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5,978,919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7,369,788</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Research and development expenses for the three months ended June 30, 2019 decreased approximately $2.0 million or 46.5%, compared to the three months ended June 30, 2018. This was the result of decreased spending on AKB-9778, offset by spending related to the start-up of the Glaucoma clinical trial which commenced during the second quarter of 2019 and ARB-1536.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2019, decreased approximately $0.3 million, or 10.9%, compared to the three months ended June 30, 2018. This decrease was primarily attributable to a decrease in stock-based compensation of $0.6 million offset by an increase in legal expenses of $0.2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Restructuring expense for the three months ended June 30, 2019 increased by $0.9 million as a result of a reduction of headcount during the second quarter of 2019. No such actions were taken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4,924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290,379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46,464</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295,303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in the three months ended June 30, 2019 and 2018, reflects interest earned on short term money market instruments. The net proceeds from our underwritten public offering in June 2018 and upfront payment received in conjunction with the execution of the license agreement with Gossamer in June 2018, less cash used in operations, were available for investment and generated more interest income in the three months ended June 30, 2019, compared to the prior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License revenue for the six months ended June 30, 2018 reflects six days of amortization of a $20.0 million upfront payment under the Gossamer license agreement which will be recognized as revenue over a ninety-day performance period beginning on June 25, 2018. No such license agreement was executed in 2019, nor were any milestones of the Gossamer license agreement achieved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7,850,506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8,257,746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6,054,612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6,588,690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915,094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14,820,212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14,846,436</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Research and development expenses for the six months ended June 30, 2019 decreased approximately $0.4 million or 4.9%, compared to the six months ended June 30, 2018. This was the result of reduced spending on AKB-9778 offset by an increase in expenses related to Glaucoma and ARB-1536. Research and development expenses are primarily attributed to the costs of the AKB-9778 Phase 2 clinical trial which concluded during the first quarter of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General and administrative expenses for the six months ended June 30, 2019, decreased approximately $0.5, or 8.1%, compared to the six months ended June 30, 2018. This decrease was primarily attributable to a decrease in stock-based compensation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Restructuring expense for the six months ended June 30, 2019 increased by $0.9 million as a result of a reduction of headcount during the second quarter of 2019. No such actions were taken in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4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20,272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623,499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97,580</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643,771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income in the six months ended June 30, 2019, reflects interest earned on short term money market instruments. The net proceeds from our underwritten public offering in June 2018 and upfront payment received in conjunction with the execution of the license agreement with Gossamer in June 2018, less cash used in operations, were available for investment and generated more interest income in the six months ended June 30, 2019, compared to the prior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Since inception, we have incurred significant net and comprehensive losses and negative cash flows from operations. For the six months ended June 30, 2019 and 2018, we had net and comprehensive loss of $14.2 million and $13.4 million, respectively. At June 30, 2019 and December 31, 2018, we had an accumulated deficit of $133.1 million and $119.0 million, respectively.</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30, 2019, we had cash and cash equivalents of $48.2 million. To date, we have financed our operations principally through private and public offerings of our equity securities, private placements of our redeemable convertible preferred stock, common stock, issuances of secured convertible promissory notes and proceeds from the license agreement with Gossamer. Based on our current plans</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that our existing cash and cash equivalents, will enable us to conduct our planned operations at least through the second quarter of 2021.</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2018, we filed a shelf registration statement on Form S-3 with the SEC which was declared effective by the Securities and Exchange Commission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under the Sales Agreement. As of June 30, 2019, no shares had been sold under this Sales Agreement.</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(14,224,328)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6,598,635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(232,672)</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(8,498)</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41,928,964</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(14,457,000</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48,519,101</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historically experienced negative cash outflows as we developed AKB-9778, ARP-1536 and AKB-4924.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increased spending to advance and support our product candidates in the clinic and other operating and general administrative activities.</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six months ended June 30, 2019, operating activities used $14.2 million in cash as result of $1.3 million of decrease in working capital and a net loss of approximately $14.2 million, offset by $1.3 million in non-cash expenses related to stock-based compensation and depreciation expense. For the six months ended June 30, 2018, operating activities generated $6.6 million in cash, predominately as a result of an increase in working capital of $18.0 million, primarily due to an increase of $18.7 million in deferred revenue related to the Gossamer license agreement. Counterbalancing this increase in cash was a net loss of $13.4 million, offset by $2.0 million in non-cash expenses that consisted of stock-based compensation expense and depreciation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for the six months ended June 30, 2019 and 2018 was related to capital expenditures to support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six months ended June 30, 2018, we received $23,652 from the exercise of stock options and $41.9 million net proceeds from the sale of our common stock in our underwritten public offering in June 2018. No such activity occurred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during the period covered by this Form 10-Q from the contractual obligations and commitments as of December 31, 2018 as described in our Annual Report on Form 10-K filed with the SEC on March 7,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and December 31, 2018, we did not have any off-balance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condensed consolidated financial statements are prepared in accordance with U.S. generally accepted accounting principles or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all our significant accounting policies, see the notes to our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supervision of and with the participation of our management, including our Chief Executive Officer, who is our principal executive officer, and our Chief Financial Officer, who is our principal financial officer, we conducted an evaluation of the effectiveness of our disclosure controls and procedures as of June 30, 2019,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5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22222"/>
        </w:rPr>
        <w:t>During the quarter ended June 30, 2019,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as well as our other filings with the Securities and Exchange Commission,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incurred net losses each year since our inception, including net losses of $5.7 million and $6.0 million for the three months ended June 30, 2019 and 2018, respectively. As of June 30, 2019, we had an accumulated deficit of $133.1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In June 2019 we initiated a Phase 1b clinical trial for our lead product candidate, AKB-9778, for a topical drop formulation to treat primary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62" w:lineRule="exact"/>
        <w:rPr>
          <w:sz w:val="20"/>
          <w:szCs w:val="20"/>
          <w:color w:val="auto"/>
        </w:rPr>
      </w:pPr>
    </w:p>
    <w:p>
      <w:pPr>
        <w:ind w:left="900" w:right="34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a topical drop formulation of AKB-9778 for the treatment of primary open angle glaucoma and ocular hypertension, including as we commence our Phase 1b clinical trial of this product candidate.</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900" w:hanging="379"/>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initiate additional preclinical, clinical or other studies for AKB-9778, ARP-1536 and other product candidates that we may develop or acquire;</w:t>
      </w:r>
    </w:p>
    <w:p>
      <w:pPr>
        <w:spacing w:after="0" w:line="153" w:lineRule="exact"/>
        <w:rPr>
          <w:rFonts w:ascii="Arial" w:cs="Arial" w:eastAsia="Arial" w:hAnsi="Arial"/>
          <w:sz w:val="16"/>
          <w:szCs w:val="16"/>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right="10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2019, our cash and cash equivalents were $48.2 million. We believe that we will continue to expend substantial resources for the foreseeable future developing AKB-9778 for the indications that we are pursuing, such as primary open angle glaucoma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900" w:right="12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results and cost of continuing our Phase 1 program of AKB-9778 for primary open angle glaucoma and ocular hypertension and our operating costs incurred as we conduct these trials;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size, rate of progress, results and costs of initiating and completing additional development of AKB-9778;</w:t>
      </w:r>
    </w:p>
    <w:p>
      <w:pPr>
        <w:spacing w:after="0" w:line="130" w:lineRule="exact"/>
        <w:rPr>
          <w:rFonts w:ascii="Arial" w:cs="Arial" w:eastAsia="Arial" w:hAnsi="Arial"/>
          <w:sz w:val="18"/>
          <w:szCs w:val="18"/>
          <w:color w:val="auto"/>
        </w:rPr>
      </w:pPr>
    </w:p>
    <w:p>
      <w:pPr>
        <w:jc w:val="both"/>
        <w:ind w:left="900" w:right="120" w:hanging="379"/>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8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ARP-1536 if clinical trials of this product candidate are successful;</w:t>
      </w:r>
    </w:p>
    <w:p>
      <w:pPr>
        <w:spacing w:after="0" w:line="142" w:lineRule="exact"/>
        <w:rPr>
          <w:rFonts w:ascii="Arial" w:cs="Arial" w:eastAsia="Arial" w:hAnsi="Arial"/>
          <w:sz w:val="17"/>
          <w:szCs w:val="17"/>
          <w:color w:val="auto"/>
        </w:rPr>
      </w:pPr>
    </w:p>
    <w:p>
      <w:pPr>
        <w:ind w:left="900" w:right="2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900" w:right="9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53" w:lineRule="exact"/>
        <w:rPr>
          <w:rFonts w:ascii="Arial" w:cs="Arial" w:eastAsia="Arial" w:hAnsi="Arial"/>
          <w:sz w:val="16"/>
          <w:szCs w:val="16"/>
          <w:color w:val="auto"/>
        </w:rPr>
      </w:pPr>
    </w:p>
    <w:p>
      <w:pPr>
        <w:ind w:left="900" w:right="4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right="20"/>
        <w:spacing w:after="0" w:line="271" w:lineRule="auto"/>
        <w:rPr>
          <w:sz w:val="20"/>
          <w:szCs w:val="20"/>
          <w:color w:val="auto"/>
        </w:rPr>
      </w:pPr>
      <w:r>
        <w:rPr>
          <w:rFonts w:ascii="Arial" w:cs="Arial" w:eastAsia="Arial" w:hAnsi="Arial"/>
          <w:sz w:val="17"/>
          <w:szCs w:val="17"/>
          <w:color w:val="auto"/>
        </w:rPr>
        <w:t>Based on our current operating plan, and absent any future financings or strategic partnerships, we believe that our existing cash and cash equivalents will be sufficient to fund our projected operating expenses and capital expenditure requirements at least through the second quarter of 2021.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ARP-1536 or any other product candidates that we develop or acquire, or delay, limit, reduce or terminate our establishment of sales and marketing capabilities or other activities that may be necessary to commercialize our product candidates.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2019, we adopted a realignment plan to reduce operating costs and better align our workforce with the needs of our ongoing business. The realignment plan reduced our workforce by 11 employees, representing approximately 41% of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a wholly-owned subsidiary of Gossamer Bio, Inc. (including its affiliates, “Gossamer”) for the development and commercialization of AKB-4924. If we are unable to raise additional funds through equity or debt financing when needed, we may be required to delay, limit, reduce or terminate our product development or commercialization efforts for AKB-9778, ARP-1536 or any other product candidates that we develop or acquire,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lead product candidate, AKB-9778. Even if we obtain favorable clinical results, we may not be able to obtain regulatory approval for, or successfully commercialize, AKB-9778.</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rely on our lead product candidate, AKB-9778, and our business depends almost entirely on the successful clinical development, regulatory approval and commercialization of that product candidate, which may never occur. In March 2019, we announced top line results of the Phase 2b clinical trial for AKB-9778 in the treatment of non-proliferative diabetic retinopathy. While we believed AKB-9778 had the potential to slow down or possibly reverse retinal vascular changes caused by diabetes, the subcutaneous administration of AKB-9778 twice daily did not meet the study’s primary endpoint of the percentage of patients with an improvement of two or more steps in diabetic retinopathy severity score, or DRSS, in the study eye, compared to placebo. In June 2019, we initiated a Phase 1b clinical trial for our lead product candidate, AKB-9778, for a topical drop formulation to treat primary open angle glaucoma and ocular hypertension, with results anticipated by the end of 2019. We currently have no products for sale, generate no revenues from sales of any drugs, and may never be able to develop marketable products. AKB-9778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we must complete our ongoing clinical trial, Phase 2 and 3 trials, and any additional nonclinical studies or clinical trials required by the FDA. To date, we have not completed any clinical trials of AKB-9778 for primary open angle glaucoma or ocular hypertension.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AKB-9778 will never obtain regulatory approval. The FDA may delay, limit or deny approval of AKB-9778 for many reasons, including, among others:</w:t>
      </w:r>
    </w:p>
    <w:p>
      <w:pPr>
        <w:spacing w:after="0" w:line="85" w:lineRule="exact"/>
        <w:rPr>
          <w:sz w:val="20"/>
          <w:szCs w:val="20"/>
          <w:color w:val="auto"/>
        </w:rPr>
      </w:pPr>
    </w:p>
    <w:p>
      <w:pPr>
        <w:ind w:left="900" w:right="64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AKB-9778 is safe and effective in treating patients with primary open angle glaucoma and ocular hypertension to the satisfaction of the FDA;</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42" w:lineRule="exact"/>
        <w:rPr>
          <w:rFonts w:ascii="Arial" w:cs="Arial" w:eastAsia="Arial" w:hAnsi="Arial"/>
          <w:sz w:val="17"/>
          <w:szCs w:val="17"/>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30"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research organizations, or CROs, or the clinical investigators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or GCP, requirements;</w:t>
      </w:r>
    </w:p>
    <w:p>
      <w:pPr>
        <w:spacing w:after="0" w:line="142" w:lineRule="exact"/>
        <w:rPr>
          <w:rFonts w:ascii="Arial" w:cs="Arial" w:eastAsia="Arial" w:hAnsi="Arial"/>
          <w:sz w:val="17"/>
          <w:szCs w:val="17"/>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find deficiencies with the manufacturing processes or facilities of third-party manufacturers with which we contract; or</w:t>
      </w:r>
    </w:p>
    <w:p>
      <w:pPr>
        <w:spacing w:after="0" w:line="130"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In addition, similar reasons may cause the EMA or other regulatory authorities to delay, limit or deny approval of AKB-9778 outside the United States.</w:t>
      </w:r>
    </w:p>
    <w:p>
      <w:pPr>
        <w:spacing w:after="0" w:line="1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obtained agreement with the FDA, EMA or other regulatory authorities on the design of our development programs.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obtained agreement with the FDA on the design of our planned development programs for AKB-9778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not yet sought guidance for the regulatory path for the topical formulation of AKB-9778 for primary open angle glaucoma and ocular hypertension with the FDA, EMA or other regulatory authorities.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AKB-9778, any such delay or increase in costs would have an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30"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or any other product candidate in relation to available therapies or other products under development;</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jc w:val="both"/>
        <w:ind w:right="100"/>
        <w:spacing w:after="0" w:line="264"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AKB-9778.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AKB-9778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planned clinical development program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30"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79"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requirements and GCP requirements for any clinical trials that we conduct post-approval.</w:t>
      </w:r>
    </w:p>
    <w:p>
      <w:pPr>
        <w:spacing w:after="0" w:line="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30"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ongoing Phase 1b clinical trial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on third parties to conduct some or all aspects of our product manufacturing, and these third parties may not perform satisfactorily.</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of these third parties may terminate their engagement with us at any time. We currently have arrangements in place for the manufacturing of drug substance and drug product for our planned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5620" w:right="2720" w:hanging="5099"/>
        <w:spacing w:after="0" w:line="669" w:lineRule="auto"/>
        <w:tabs>
          <w:tab w:leader="none" w:pos="8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ind w:left="900" w:right="34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75"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0" w:lineRule="exact"/>
        <w:rPr>
          <w:rFonts w:ascii="Arial" w:cs="Arial" w:eastAsia="Arial" w:hAnsi="Arial"/>
          <w:sz w:val="18"/>
          <w:szCs w:val="18"/>
          <w:color w:val="auto"/>
        </w:rPr>
      </w:pPr>
    </w:p>
    <w:p>
      <w:pPr>
        <w:ind w:left="900" w:right="600" w:hanging="379"/>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3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30"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strictly enforced federal, state and foreign regulations that vary in each country where a product might be sold;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and milestone payments contingent upon the achievement of specified milestones.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6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6" w:name="page37"/>
    <w:bookmarkEnd w:id="36"/>
    <w:p>
      <w:pPr>
        <w:spacing w:after="0" w:line="293" w:lineRule="auto"/>
        <w:rPr>
          <w:sz w:val="20"/>
          <w:szCs w:val="20"/>
          <w:color w:val="auto"/>
        </w:rPr>
      </w:pPr>
      <w:r>
        <w:rPr>
          <w:rFonts w:ascii="Arial" w:cs="Arial" w:eastAsia="Arial" w:hAnsi="Arial"/>
          <w:sz w:val="16"/>
          <w:szCs w:val="16"/>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applications that we own or license may fail to result in issued patents in the United States or in other foreign countries. Even if the patents do successfully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 third parties may challenge the validity, enforceability, inventorship, or scope thereof, which may result in such patents being narrowed, invalidated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unenforceable. Furthermore, even if they are unchallenged, our patents and patent applications may not adequately protect our intellectual property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prevent others from designing around our claims. If the breadth or strength of protection provided by the patent applications we hold with respect to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is threatened, it could dissuade companies from collaborating with us to develop, and threaten our ability to commercialize,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Moreover, the inventors of our patents or patent applications or our scientific consultants may become involved with competitors, develop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products or processes which design around our patents, or become hostile to us or the patents or patent applications on which they are named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inventors. Likewise, our collaborators may become hostile to us or develop products or processes that are adjacent to or compete with us, including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processes outside the scope of our patents. For example, a hostile collaborator may use technology similar to ours to pursue treatment of an indication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plan to pursue, and may obtain approval for a product before we do. A hostile collaborator may file patent applications based on information learned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Such patent applications may become prior art that will be detrimental to future patent applications by us on similar technology.</w:t>
      </w:r>
    </w:p>
    <w:p>
      <w:pPr>
        <w:spacing w:after="0" w:line="103"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80"/>
        <w:spacing w:after="0" w:line="255" w:lineRule="auto"/>
        <w:rPr>
          <w:sz w:val="20"/>
          <w:szCs w:val="20"/>
          <w:color w:val="auto"/>
        </w:rPr>
      </w:pPr>
      <w:r>
        <w:rPr>
          <w:rFonts w:ascii="Arial" w:cs="Arial" w:eastAsia="Arial" w:hAnsi="Arial"/>
          <w:sz w:val="18"/>
          <w:szCs w:val="18"/>
          <w:color w:val="auto"/>
        </w:rPr>
        <w:t>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7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 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6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AKB-9778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6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ind w:right="20"/>
        <w:spacing w:after="0" w:line="259" w:lineRule="auto"/>
        <w:rPr>
          <w:sz w:val="20"/>
          <w:szCs w:val="20"/>
          <w:color w:val="auto"/>
        </w:rPr>
      </w:pPr>
      <w:r>
        <w:rPr>
          <w:rFonts w:ascii="Arial" w:cs="Arial" w:eastAsia="Arial" w:hAnsi="Arial"/>
          <w:sz w:val="18"/>
          <w:szCs w:val="18"/>
          <w:color w:val="auto"/>
        </w:rPr>
        <w:t>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Even if we obtain marketing approval for AKB-9778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3"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 netarsidil (Rhopress TM, and in combination with latanoprost, Rhoclatan TM) and latanoprostene bunod (Vyzulta TM).</w:t>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we demonstrate that AKB-9778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7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900" w:hanging="379"/>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2" w:name="page43"/>
    <w:bookmarkEnd w:id="42"/>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right="70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and will remain in effect through 2027 unless additional Congressional action is taken.</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6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to Medicare payments to providers of 2% per fiscal year through 2027.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The Trump administration and CMS have both stated that the ruling will have no immediate effect, and on December 30, 2018 the same judge issued an order staying the judgment pending appeal. A Fifth Circuit US Court of Appeals hearing to determine whether certain states and the House of Representatives have standing to appeal the lower court decision was held on July 9, 2019, but it is unclear when a Court will render its decision on this hearing, and what effect it will have on the status of the ACA. Litigation and legislation related to the ACA are likely to continue, with unpredictable and uncertain results. We will continue to evaluate the effect that the ACA and its possible repeal and replacement has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spacing w:after="0" w:line="269" w:lineRule="auto"/>
        <w:rPr>
          <w:sz w:val="20"/>
          <w:szCs w:val="20"/>
          <w:color w:val="auto"/>
        </w:rPr>
      </w:pPr>
      <w:r>
        <w:rPr>
          <w:rFonts w:ascii="Arial" w:cs="Arial" w:eastAsia="Arial" w:hAnsi="Arial"/>
          <w:sz w:val="17"/>
          <w:szCs w:val="17"/>
          <w:color w:val="auto"/>
        </w:rPr>
        <w:t>Further, the Trump administration’s budget for fiscal year 2019 contains further drug price control measures that could be enacted during the 2019 legislation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In response to the Blueprint, CMS finalized a rule that amends the Medicare Advantage and Medicare Part D prescription drug benefit regulations to reduce out of pocket costs for plan enrollees and allows Medicare plans to negotiate lower rates for certain drugs. Among other things, the rule allows Medicare Advantage plans to use pre-authorization (PA) and step therapy (ST) for five of the six protected classes of drugs, with certain exceptions and permits plans to implement PA and ST in Medicare Part B drugs. CMS is still considering proposed changes to the definition of “negotiated prices” in the regulations. It is unclear what effect such changes will have on our business and our ability to receive adequate reimbursement for our future products.</w:t>
      </w:r>
    </w:p>
    <w:p>
      <w:pPr>
        <w:spacing w:after="0" w:line="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3" w:lineRule="exact"/>
        <w:rPr>
          <w:sz w:val="20"/>
          <w:szCs w:val="20"/>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AKB-9778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Baush + Lomb, Santen, Novartis, ONO, Takeda, Allergan and others compete in the market for products for the treatment of glaucoma.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and these adverse events may occur in our future planned development of this candidate.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900" w:right="72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highly dependent on members of our senior management, including Stephen Hoffman, our Chief Executive Officer, Michael Rogers, our Chief Financial and Business Officer, Joseph Gardner, our President and Founder and former Chief Executive Officer, and Kevin G. Peters, our Chief Scientific Officer and acting Chief Medical Officer. The loss of the services of any of these persons could impede the achievement of our research, development and commercialization objectives.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April 2019, we adopted a realignment plan to reduce operating costs and better align our workforce with the needs of our ongoing business. The realignment plan reduced our workforce by 11 employees, representing approximately 41% of our workforce. As a result, while we have undertaken efforts to retain our current employees, we may experience challenges in doing so.</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1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60"/>
        <w:spacing w:after="0" w:line="255"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the results of the public referendum held in United Kingdom and its membership in the European Union.</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ongoing developments following from the United Kingdom’s public referendum vote to exit from the European Union could cause disruptions to and create uncertainty surrounding our business, including affecting our relationships with existing and potential suppliers, manufacturers and other third parties. Negotiations have commenced to determine the terms of the United Kingdom’s future relationship with the European Union, including the terms of trade between the United Kingdom and the European Union. The effects of Brexit will depend upon any agreements the United Kingdom makes to retain access to European Union markets either during a transitional period or more permanently. The measures could potentially have corporate structural consequences, adversely change tax benefits or liabilities in these or other jurisdictions and could disrupt some of the markets and jurisdictions in which we operate.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60"/>
        <w:spacing w:after="0" w:line="276" w:lineRule="auto"/>
        <w:rPr>
          <w:sz w:val="20"/>
          <w:szCs w:val="20"/>
          <w:color w:val="auto"/>
        </w:rPr>
      </w:pPr>
      <w:r>
        <w:rPr>
          <w:rFonts w:ascii="Arial" w:cs="Arial" w:eastAsia="Arial" w:hAnsi="Arial"/>
          <w:sz w:val="17"/>
          <w:szCs w:val="17"/>
          <w:color w:val="auto"/>
        </w:rPr>
        <w:t>addition, Brexit could lead to legal uncertainty and potentially divergent national laws and regulations as the United Kingdom determines which European Union laws to replace or replicate. In addition, the announcement of Brexit has caused significant volatility in global stock markets and currency exchange rate fluctuations, including the strengthening of the USD against some foreign currencies, and the Brexit negotiations may continue to cause significant volatility. The progress and outcomes of Brexit negotiations also may create global economic uncertainty. Any of these effects of Brexit, among others, could materially adversely affect the business, business opportunities, and financial condition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3" w:lineRule="exact"/>
        <w:rPr>
          <w:sz w:val="20"/>
          <w:szCs w:val="20"/>
          <w:color w:val="auto"/>
        </w:rPr>
      </w:pPr>
    </w:p>
    <w:p>
      <w:pPr>
        <w:ind w:left="900" w:right="20" w:hanging="379"/>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$0.88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8" w:lineRule="exact"/>
        <w:rPr>
          <w:sz w:val="20"/>
          <w:szCs w:val="20"/>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900" w:right="52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January 20, 2020, to regain compliance with Nasdaq Listing Rule 5550(a)(2). To regain compliance, the bid price of our common stock must have a closing bid price of at least $1.00 per share for a minimum of 10 consecutive business days. If we do not regain compliance by January 20, 2020, an additional 180 days may be granted to regain compliance, so long as we meet the Nasdaq Capital Market continued listing requirements (except for the bid price requirement)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8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 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June 30, 2019, our executive officers, directors and principal stockholders, together with their respective affiliates, owned approximately 40.2%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1" w:name="page52"/>
    <w:bookmarkEnd w:id="51"/>
    <w:p>
      <w:pPr>
        <w:ind w:right="32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currently intend to use our cash and cash equivalents for continuing clinical development of AKB-9778 in patients with primary open angle glaucoma and ocular hypertension, including our ongoing Phase 1b clinical trial, early research on antibody therapies that inhibit VE-PTP,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right="40"/>
        <w:spacing w:after="0" w:line="268" w:lineRule="auto"/>
        <w:rPr>
          <w:sz w:val="20"/>
          <w:szCs w:val="20"/>
          <w:color w:val="auto"/>
        </w:rPr>
      </w:pPr>
      <w:r>
        <w:rPr>
          <w:rFonts w:ascii="Arial" w:cs="Arial" w:eastAsia="Arial" w:hAnsi="Arial"/>
          <w:sz w:val="17"/>
          <w:szCs w:val="17"/>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47"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50" w:lineRule="exact"/>
        <w:rPr>
          <w:sz w:val="20"/>
          <w:szCs w:val="20"/>
          <w:color w:val="auto"/>
        </w:rPr>
      </w:pPr>
    </w:p>
    <w:p>
      <w:pPr>
        <w:ind w:left="900" w:right="20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900" w:right="30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 and by a supermajority (66 2/3%) vote of the holders of our voting stock;</w:t>
      </w:r>
    </w:p>
    <w:p>
      <w:pPr>
        <w:spacing w:after="0" w:line="117"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900" w:right="420" w:hanging="379"/>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jc w:val="both"/>
        <w:ind w:left="900" w:right="440" w:hanging="379"/>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On December 22, 2017, The Tax Cuts and Jobs Act (the “2017 Tax Act”) was enacted and could have a material impact on our current and future income tax provision and disclosures.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effective tax rates could be affected by numerous factors, such as intercompany transactions, entry into new businesses and geographies, changes to our existing businesses and operations, acquisitions and investments and how they are financed, potential changes in our stock price, changes in our deferred tax assets and liabilities and their valuation, and changes in the relevant tax, accounting, and other laws, regulations, administrative practices, principles, and interpretations. Finally, U.S. State governments may enact tax laws in response to the 2017 Tax Act that could result in further changes to taxation and materially affect our financial position and results of operations.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2017 Tax Act significantly changes how the U.S. taxes corporations. The 2017 Tax Act, among other things, contains significant changes to corporate taxation, including reduction of the corporate tax rate from a top marginal rate of 35% to a flat rate of 21%,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The 2017 Tax Act requires complex computations to be performed that were not previously required in U.S. tax law, significant judgments to be made in interpretation of the provisions of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We have completed our determination of the accounting implications of the 2017 Tax Act during 2018 upon filing our Federal Income Tax Return, and there were no material adjustments to the Company’s provisional estimate with the 2018 provision for income taxes.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spacing w:after="0" w:line="308"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3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common stock was recently listed on The Nasdaq Capital Market on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94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4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Adopted Pursuant to Section 302 of the Sarbanes-Oxley Act of 2002.</w:t>
              </w:r>
            </w:hyperlink>
          </w:p>
        </w:tc>
        <w:tc>
          <w:tcPr>
            <w:tcW w:w="5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Act of 2002.</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4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7220" w:type="dxa"/>
            <w:vAlign w:val="bottom"/>
            <w:gridSpan w:val="2"/>
          </w:tcPr>
          <w:p>
            <w:pPr>
              <w:ind w:left="260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Date: August 8, 2019</w:t>
            </w:r>
          </w:p>
        </w:tc>
        <w:tc>
          <w:tcPr>
            <w:tcW w:w="2880" w:type="dxa"/>
            <w:vAlign w:val="bottom"/>
          </w:tcPr>
          <w:p>
            <w:pPr>
              <w:ind w:left="260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Stephen Hoffman, M.D., Ph.D.</w:t>
            </w:r>
          </w:p>
        </w:tc>
      </w:tr>
      <w:tr>
        <w:trPr>
          <w:trHeight w:val="218"/>
        </w:trPr>
        <w:tc>
          <w:tcPr>
            <w:tcW w:w="4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Hoffman M.D., Ph.D.</w:t>
            </w:r>
          </w:p>
        </w:tc>
      </w:tr>
      <w:tr>
        <w:trPr>
          <w:trHeight w:val="216"/>
        </w:trPr>
        <w:tc>
          <w:tcPr>
            <w:tcW w:w="4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 Chief Executive Officer</w:t>
            </w:r>
          </w:p>
        </w:tc>
      </w:tr>
      <w:tr>
        <w:trPr>
          <w:trHeight w:val="234"/>
        </w:trPr>
        <w:tc>
          <w:tcPr>
            <w:tcW w:w="4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b w:val="1"/>
                <w:bCs w:val="1"/>
                <w:color w:val="auto"/>
                <w:w w:val="94"/>
              </w:rPr>
              <w:t>)</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Date: August 8, 2019</w:t>
            </w:r>
          </w:p>
        </w:tc>
        <w:tc>
          <w:tcPr>
            <w:tcW w:w="2880" w:type="dxa"/>
            <w:vAlign w:val="bottom"/>
          </w:tcPr>
          <w:p>
            <w:pPr>
              <w:ind w:left="260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Rogers</w:t>
            </w:r>
          </w:p>
        </w:tc>
      </w:tr>
      <w:tr>
        <w:trPr>
          <w:trHeight w:val="228"/>
        </w:trPr>
        <w:tc>
          <w:tcPr>
            <w:tcW w:w="42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Rogers</w:t>
            </w:r>
          </w:p>
        </w:tc>
      </w:tr>
    </w:tbl>
    <w:p>
      <w:pPr>
        <w:jc w:val="center"/>
        <w:ind w:left="708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18" w:lineRule="exact"/>
        <w:rPr>
          <w:sz w:val="20"/>
          <w:szCs w:val="20"/>
          <w:color w:val="auto"/>
        </w:rPr>
      </w:pPr>
    </w:p>
    <w:p>
      <w:pPr>
        <w:jc w:val="center"/>
        <w:ind w:left="7080"/>
        <w:spacing w:after="0"/>
        <w:rPr>
          <w:sz w:val="20"/>
          <w:szCs w:val="20"/>
          <w:color w:val="auto"/>
        </w:rPr>
      </w:pPr>
      <w:r>
        <w:rPr>
          <w:rFonts w:ascii="Arial" w:cs="Arial" w:eastAsia="Arial" w:hAnsi="Arial"/>
          <w:sz w:val="18"/>
          <w:szCs w:val="18"/>
          <w:i w:val="1"/>
          <w:iCs w:val="1"/>
          <w:color w:val="auto"/>
        </w:rPr>
        <w:t>(Principal Financial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Hoffman,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0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Rogers,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June 30, 2019 as filed with the Securities and Exchange Commission on the date hereof (the “Report”), I, Stephen Hoffman, Chief Executive Officer of the Company,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0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ending June 30, 2019 as filed with the Securities and Exchange Commission on the date hereof (the “Report”), I, Michael Rogers, Chief Financial and Business Officer of the Company, certify, pursuant to 18 U.S.C. § 1350, as adopted pursuant to § 906 of the Sarbanes-Oxley Act of 2002, that to my knowledge:</w:t>
      </w:r>
    </w:p>
    <w:p>
      <w:pPr>
        <w:spacing w:after="0" w:line="5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718"/>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2019-12-28T07:46:40Z</dcterms:created>
  <dcterms:modified xsi:type="dcterms:W3CDTF">2019-12-28T07:46:40Z</dcterms:modified>
</cp:coreProperties>
</file>