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52026_110928.xml.htm"/>
      <w:bookmarkStart w:id="1" w:name="ksform409152026_1109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Dugan Margaret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WHITEHAWK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HEADQUARTERS PLAZA, EAST BUILDING, 11T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MORRISTOWN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Whitehawk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WHWK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4.09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81,250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81,250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Subject to the Reporting Person continuing to be a Service Provider (as defined in the Issuer's 2021 Equity Incentive Plan) through each applicable date, twenty five percent (25%) of the shares subject to the option shall vest on the one-year anniversary of the Vesting Commencement Date and 1/48th of the total shares subject to the option shall vest every month thereafter such that all shares subject to the option shall be fully vested on the four-year anniversary of the Vesting Commencement Date. "Vesting Commencement Date" shall mean September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Whitehawk Therapeutics,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Subject to the Reporting Person continuing to be a Service Provider (as defined in the Issuer's 2021 Equity Incentive Plan) through each applicable date, twenty five percent (25%) of the shares subject to the award shall vest on the one-year anniversary of the Vesting Commencement Date, and twenty five percent (25%) of the shares subject to the award shall vest on each of the next three Vesting Commencement Date anniversaries thereafter. "Vesting Commencement Date" shall mean September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Rodin,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9734" TargetMode="External"/><Relationship Id="rId5" Type="http://schemas.openxmlformats.org/officeDocument/2006/relationships/hyperlink" Target="http://www.sec.gov/cgi-bin/browse-edgar?action=getcompany&amp;CIK=00014221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783</Words>
  <Characters>4253</Characters>
  <CharactersWithSpaces>4950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