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74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83" w:lineRule="exact"/>
        <w:rPr>
          <w:sz w:val="24"/>
          <w:szCs w:val="24"/>
          <w:color w:val="auto"/>
        </w:rPr>
      </w:pPr>
    </w:p>
    <w:p>
      <w:pPr>
        <w:ind w:left="3140" w:right="17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100" w:type="dxa"/>
            <w:vAlign w:val="bottom"/>
          </w:tcPr>
          <w:p>
            <w:pPr>
              <w:jc w:val="center"/>
              <w:ind w:right="19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26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8"/>
              </w:rPr>
              <w:t>incorporation or organization)</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2"/>
              </w:rPr>
              <w:t>9987 Carver Road</w:t>
            </w:r>
          </w:p>
        </w:tc>
        <w:tc>
          <w:tcPr>
            <w:tcW w:w="3260" w:type="dxa"/>
            <w:vAlign w:val="bottom"/>
          </w:tcPr>
          <w:p>
            <w:pPr>
              <w:spacing w:after="0"/>
              <w:rPr>
                <w:sz w:val="24"/>
                <w:szCs w:val="24"/>
                <w:color w:val="auto"/>
              </w:rPr>
            </w:pPr>
          </w:p>
        </w:tc>
      </w:tr>
      <w:tr>
        <w:trPr>
          <w:trHeight w:val="216"/>
        </w:trPr>
        <w:tc>
          <w:tcPr>
            <w:tcW w:w="4100" w:type="dxa"/>
            <w:vAlign w:val="bottom"/>
          </w:tcPr>
          <w:p>
            <w:pPr>
              <w:jc w:val="center"/>
              <w:ind w:right="1923"/>
              <w:spacing w:after="0"/>
              <w:rPr>
                <w:sz w:val="20"/>
                <w:szCs w:val="20"/>
                <w:color w:val="auto"/>
              </w:rPr>
            </w:pPr>
            <w:r>
              <w:rPr>
                <w:rFonts w:ascii="Arial" w:cs="Arial" w:eastAsia="Arial" w:hAnsi="Arial"/>
                <w:sz w:val="18"/>
                <w:szCs w:val="18"/>
                <w:b w:val="1"/>
                <w:bCs w:val="1"/>
                <w:color w:val="auto"/>
                <w:w w:val="95"/>
              </w:rPr>
              <w:t>Cincinnati, OH</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1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20" w:firstLine="51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ind w:right="4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00" w:lineRule="exact"/>
        <w:rPr>
          <w:sz w:val="24"/>
          <w:szCs w:val="24"/>
          <w:color w:val="auto"/>
        </w:r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796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60" w:type="dxa"/>
            <w:vAlign w:val="bottom"/>
          </w:tcPr>
          <w:p>
            <w:pPr>
              <w:ind w:left="80"/>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85"/>
        </w:trPr>
        <w:tc>
          <w:tcPr>
            <w:tcW w:w="4700" w:type="dxa"/>
            <w:vAlign w:val="bottom"/>
            <w:gridSpan w:val="2"/>
          </w:tcPr>
          <w:p>
            <w:pPr>
              <w:ind w:left="520"/>
              <w:spacing w:after="0"/>
              <w:rPr>
                <w:sz w:val="20"/>
                <w:szCs w:val="20"/>
                <w:color w:val="auto"/>
              </w:rPr>
            </w:pPr>
            <w:r>
              <w:rPr>
                <w:rFonts w:ascii="Arial" w:cs="Arial" w:eastAsia="Arial" w:hAnsi="Arial"/>
                <w:sz w:val="16"/>
                <w:szCs w:val="16"/>
                <w:color w:val="auto"/>
              </w:rPr>
              <w:t>Securities registered pursuant to Section 12(b) of the Act:</w:t>
            </w: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9"/>
        </w:trPr>
        <w:tc>
          <w:tcPr>
            <w:tcW w:w="3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86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ind w:right="819"/>
              <w:spacing w:after="0"/>
              <w:rPr>
                <w:sz w:val="20"/>
                <w:szCs w:val="20"/>
                <w:color w:val="auto"/>
              </w:rPr>
            </w:pPr>
            <w:r>
              <w:rPr>
                <w:rFonts w:ascii="Arial" w:cs="Arial" w:eastAsia="Arial" w:hAnsi="Arial"/>
                <w:sz w:val="16"/>
                <w:szCs w:val="16"/>
                <w:color w:val="auto"/>
                <w:w w:val="93"/>
              </w:rPr>
              <w:t>Trading Symbol(s)</w:t>
            </w:r>
          </w:p>
        </w:tc>
        <w:tc>
          <w:tcPr>
            <w:tcW w:w="26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jc w:val="center"/>
              <w:ind w:right="199"/>
              <w:spacing w:after="0"/>
              <w:rPr>
                <w:sz w:val="20"/>
                <w:szCs w:val="20"/>
                <w:color w:val="auto"/>
              </w:rPr>
            </w:pPr>
            <w:r>
              <w:rPr>
                <w:rFonts w:ascii="Arial" w:cs="Arial" w:eastAsia="Arial" w:hAnsi="Arial"/>
                <w:sz w:val="16"/>
                <w:szCs w:val="16"/>
                <w:color w:val="auto"/>
                <w:w w:val="90"/>
              </w:rPr>
              <w:t>Name of each exchange on which registered</w:t>
            </w:r>
          </w:p>
        </w:tc>
      </w:tr>
      <w:tr>
        <w:trPr>
          <w:trHeight w:val="23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86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jc w:val="center"/>
              <w:ind w:right="799"/>
              <w:spacing w:after="0"/>
              <w:rPr>
                <w:sz w:val="20"/>
                <w:szCs w:val="20"/>
                <w:color w:val="auto"/>
              </w:rPr>
            </w:pPr>
            <w:r>
              <w:rPr>
                <w:rFonts w:ascii="Arial" w:cs="Arial" w:eastAsia="Arial" w:hAnsi="Arial"/>
                <w:sz w:val="16"/>
                <w:szCs w:val="16"/>
                <w:color w:val="auto"/>
                <w:w w:val="96"/>
              </w:rPr>
              <w:t>ARPO</w:t>
            </w:r>
          </w:p>
        </w:tc>
        <w:tc>
          <w:tcPr>
            <w:tcW w:w="26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jc w:val="center"/>
              <w:ind w:right="199"/>
              <w:spacing w:after="0"/>
              <w:rPr>
                <w:sz w:val="20"/>
                <w:szCs w:val="20"/>
                <w:color w:val="auto"/>
              </w:rPr>
            </w:pPr>
            <w:r>
              <w:rPr>
                <w:rFonts w:ascii="Arial" w:cs="Arial" w:eastAsia="Arial" w:hAnsi="Arial"/>
                <w:sz w:val="16"/>
                <w:szCs w:val="16"/>
                <w:color w:val="auto"/>
                <w:w w:val="92"/>
              </w:rPr>
              <w:t>Nasdaq Capital Market</w:t>
            </w:r>
          </w:p>
        </w:tc>
      </w:tr>
    </w:tbl>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As of May 07, 2019, the registrant had 40,588,004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183"/>
        </w:trPr>
        <w:tc>
          <w:tcPr>
            <w:tcW w:w="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0"/>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560" w:type="dxa"/>
            <w:vAlign w:val="bottom"/>
            <w:gridSpan w:val="1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60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2019 (Unaudited) and December 31,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Operations and Comprehensive Loss –Three Months Ended March 31, 2019 and 2018</w:t>
              </w:r>
            </w:hyperlink>
          </w:p>
        </w:tc>
        <w:tc>
          <w:tcPr>
            <w:tcW w:w="50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ind w:left="60"/>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8140" w:type="dxa"/>
            <w:vAlign w:val="bottom"/>
            <w:tcBorders>
              <w:top w:val="single" w:sz="8" w:color="0000EE"/>
            </w:tcBorders>
            <w:gridSpan w:val="15"/>
          </w:tcPr>
          <w:p>
            <w:pPr>
              <w:spacing w:after="0"/>
              <w:rPr>
                <w:sz w:val="17"/>
                <w:szCs w:val="17"/>
                <w:color w:val="auto"/>
              </w:rPr>
            </w:pPr>
          </w:p>
        </w:tc>
        <w:tc>
          <w:tcPr>
            <w:tcW w:w="8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 of Stockholders’ Equity for the Three Months Ended March 31, 2019 and 2018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2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Three Months Ended March 31, 2019 and 2018 (Unaudited)</w:t>
              </w:r>
            </w:hyperlink>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360" w:type="dxa"/>
            <w:vAlign w:val="bottom"/>
            <w:tcBorders>
              <w:top w:val="single" w:sz="8" w:color="0000EE"/>
            </w:tcBorders>
            <w:gridSpan w:val="3"/>
          </w:tcPr>
          <w:p>
            <w:pPr>
              <w:spacing w:after="0"/>
              <w:rPr>
                <w:sz w:val="18"/>
                <w:szCs w:val="18"/>
                <w:color w:val="auto"/>
              </w:rPr>
            </w:pPr>
          </w:p>
        </w:tc>
        <w:tc>
          <w:tcPr>
            <w:tcW w:w="168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50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Controls and Procedures</w:t>
              </w:r>
            </w:hyperlink>
          </w:p>
        </w:tc>
        <w:tc>
          <w:tcPr>
            <w:tcW w:w="816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gridSpan w:val="2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94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8"/>
                <w:szCs w:val="18"/>
                <w:color w:val="auto"/>
              </w:rPr>
            </w:pPr>
          </w:p>
        </w:tc>
        <w:tc>
          <w:tcPr>
            <w:tcW w:w="8620" w:type="dxa"/>
            <w:vAlign w:val="bottom"/>
            <w:gridSpan w:val="1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Unregistered Sales of Equity Securities and Use of Proceeds</w:t>
              </w:r>
            </w:hyperlink>
          </w:p>
        </w:tc>
        <w:tc>
          <w:tcPr>
            <w:tcW w:w="56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Defaults Upon Senior Securities</w:t>
              </w:r>
            </w:hyperlink>
          </w:p>
        </w:tc>
        <w:tc>
          <w:tcPr>
            <w:tcW w:w="762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Mine Safety Disclosures</w:t>
              </w:r>
            </w:hyperlink>
          </w:p>
        </w:tc>
        <w:tc>
          <w:tcPr>
            <w:tcW w:w="8180" w:type="dxa"/>
            <w:vAlign w:val="bottom"/>
            <w:gridSpan w:val="1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8640" w:type="dxa"/>
            <w:vAlign w:val="bottom"/>
            <w:gridSpan w:val="16"/>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92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53,422,532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340,414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536,071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54,299,017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63,984,083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198,742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517,976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55,056,695</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64,123,492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3,734,012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Current portion of operating lease liability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189,511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3,923,523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337,737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4,261,260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Common stock, $0.0001 par value per share; 300,000,000 shares authorized and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40,588,004 shares issued and outstanding at March 31, 2019 and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December 31, 2018.</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178,249,209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177,621,807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(127,457,833)</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(118,959,291)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50,795,435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58,666,575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55,056,695</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64,123,492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ind w:right="145"/>
              <w:spacing w:after="0" w:line="155" w:lineRule="exact"/>
              <w:rPr>
                <w:sz w:val="20"/>
                <w:szCs w:val="20"/>
                <w:color w:val="auto"/>
              </w:rPr>
            </w:pPr>
            <w:r>
              <w:rPr>
                <w:rFonts w:ascii="Arial" w:cs="Arial" w:eastAsia="Arial" w:hAnsi="Arial"/>
                <w:sz w:val="14"/>
                <w:szCs w:val="14"/>
                <w:i w:val="1"/>
                <w:iCs w:val="1"/>
                <w:color w:val="auto"/>
              </w:rPr>
              <w:t>(unaudited)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4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5,586,251</w:t>
            </w:r>
          </w:p>
        </w:tc>
        <w:tc>
          <w:tcPr>
            <w:tcW w:w="28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4,028,812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3,255,042</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8,841,293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7,476,648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(8,841,293)</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(7,476,648)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15,348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333,120</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348,468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(8,492,825)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(7,425,532)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1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04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common shares used in computing</w:t>
            </w:r>
          </w:p>
        </w:tc>
        <w:tc>
          <w:tcPr>
            <w:tcW w:w="17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2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and comprehensive loss per share, basic and diluted</w:t>
            </w:r>
          </w:p>
        </w:tc>
        <w:tc>
          <w:tcPr>
            <w:tcW w:w="17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27,045,509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 2019 (unaudited)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48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2018</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177,621,807</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(118,959,291)</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58,666,575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60"/>
              <w:spacing w:after="0" w:line="143" w:lineRule="exact"/>
              <w:rPr>
                <w:sz w:val="20"/>
                <w:szCs w:val="20"/>
                <w:color w:val="auto"/>
              </w:rPr>
            </w:pPr>
            <w:r>
              <w:rPr>
                <w:rFonts w:ascii="Arial" w:cs="Arial" w:eastAsia="Arial" w:hAnsi="Arial"/>
                <w:sz w:val="14"/>
                <w:szCs w:val="14"/>
                <w:color w:val="auto"/>
              </w:rPr>
              <w:t>Cumulative effect of change in</w:t>
            </w: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3260" w:type="dxa"/>
            <w:vAlign w:val="bottom"/>
          </w:tcPr>
          <w:p>
            <w:pPr>
              <w:ind w:left="360"/>
              <w:spacing w:after="0"/>
              <w:rPr>
                <w:sz w:val="20"/>
                <w:szCs w:val="20"/>
                <w:color w:val="auto"/>
              </w:rPr>
            </w:pPr>
            <w:r>
              <w:rPr>
                <w:rFonts w:ascii="Arial" w:cs="Arial" w:eastAsia="Arial" w:hAnsi="Arial"/>
                <w:sz w:val="14"/>
                <w:szCs w:val="14"/>
                <w:color w:val="auto"/>
              </w:rPr>
              <w:t>accounting principle</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621,685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621,685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(8,492,825)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(8,492,825)</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178,249,209</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(127,457,833)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50,795,435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 2018 (unaudited)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48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2017</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27,070,038</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125,995,438</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(108,562,656)</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17,435,489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Issuance of restricted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60,000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16,802</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Forfeiture of restricted stock</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(741)</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1,079,721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(7,425,532)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(7,425,532)</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2018</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27,146,099</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2,715</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127,097,143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(115,988,188)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11,111,670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8"/>
                <w:szCs w:val="18"/>
                <w:i w:val="1"/>
                <w:iCs w:val="1"/>
                <w:color w:val="auto"/>
              </w:rPr>
              <w:t>(unaudited)</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loss</w:t>
            </w:r>
          </w:p>
        </w:tc>
        <w:tc>
          <w:tcPr>
            <w:tcW w:w="2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(8,492,825)</w:t>
            </w: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(7,425,532)</w:t>
            </w:r>
          </w:p>
        </w:tc>
        <w:tc>
          <w:tcPr>
            <w:tcW w:w="0" w:type="dxa"/>
            <w:vAlign w:val="bottom"/>
          </w:tcPr>
          <w:p>
            <w:pPr>
              <w:spacing w:after="0"/>
              <w:rPr>
                <w:sz w:val="1"/>
                <w:szCs w:val="1"/>
                <w:color w:val="auto"/>
              </w:rPr>
            </w:pPr>
          </w:p>
        </w:tc>
      </w:tr>
      <w:tr>
        <w:trPr>
          <w:trHeight w:val="215"/>
        </w:trPr>
        <w:tc>
          <w:tcPr>
            <w:tcW w:w="6200" w:type="dxa"/>
            <w:vAlign w:val="bottom"/>
          </w:tcPr>
          <w:p>
            <w:pPr>
              <w:ind w:left="260"/>
              <w:spacing w:after="0"/>
              <w:rPr>
                <w:sz w:val="20"/>
                <w:szCs w:val="20"/>
                <w:color w:val="auto"/>
              </w:rPr>
            </w:pPr>
            <w:r>
              <w:rPr>
                <w:rFonts w:ascii="Arial" w:cs="Arial" w:eastAsia="Arial" w:hAnsi="Arial"/>
                <w:sz w:val="18"/>
                <w:szCs w:val="18"/>
                <w:color w:val="auto"/>
              </w:rPr>
              <w:t>Adjustments to reconcile net and comprehensive loss to net</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80"/>
              <w:spacing w:after="0"/>
              <w:rPr>
                <w:sz w:val="20"/>
                <w:szCs w:val="20"/>
                <w:color w:val="auto"/>
              </w:rPr>
            </w:pPr>
            <w:r>
              <w:rPr>
                <w:rFonts w:ascii="Arial" w:cs="Arial" w:eastAsia="Arial" w:hAnsi="Arial"/>
                <w:sz w:val="18"/>
                <w:szCs w:val="18"/>
                <w:color w:val="auto"/>
              </w:rPr>
              <w:t>cash used in operating activities:</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621,685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Prepaid research and development contracts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413,978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(135,580)</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assets</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79,507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(75,365)</w:t>
            </w: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(1,713,530)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(9,078,195)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(6,513,822)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 of furniture and equipment</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(113,283)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(113,283)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Proceeds from exercise of stock options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(9,191,478)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(6,500,328)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6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62,614,010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three months ended</w:t>
            </w:r>
          </w:p>
        </w:tc>
        <w:tc>
          <w:tcPr>
            <w:tcW w:w="16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53,422,532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Aerpio Pharmaceuticals, Inc. (the “Company”) is a biopharmaceutical company focused on developing compounds that activate Tie2 to treat ocular diseases and complications of diabetes. In March 2019, the Company announced the top line results of its AKB-9778 Phase 2b (TIME-2b) clinical trial initiated in June 2017 for the treatment of non-proliferative diabetic retinopathy, or NPDR, a disease characterized by progressive compromise of blood vessels in the back of the eye. While the Company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in the study eye, compared to placebo. However, the Company did see encouraging data in a number of prespecified, key secondary endpoints related to the changes in the Urine Albumin-Creatinine Ratio, a measure of kidney function, and in reducing intraocular pressure. As a result, the Company plans to advance a topical drop formulation of AKB-9778 into clinical development as a potential treatment for open-angle glaucoma and expects to initiate a Phase 1b clinical trial in the second quarter of 2019 with results anticipated by the end of 2019.</w:t>
      </w:r>
    </w:p>
    <w:p>
      <w:pPr>
        <w:spacing w:after="0" w:line="5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addition, the Company’s pipeline program, ARP-1536, a humanized monoclonal antibody directed at the same target as AKB-9778 is in preclinical development. The Company is evaluating development options for ARP-1536, including subcutaneous injection for the treatment of diabetic vascular complications.</w:t>
      </w:r>
    </w:p>
    <w:p>
      <w:pPr>
        <w:spacing w:after="0" w:line="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was incorporated as Zeta Acquisition Corp. II (“Zeta”) in the State of Delaware on November 16, 2007. Zeta was a “shell company” (as defined in Rule 12b-2 of the Securities Exchange Act of 1934, as amended). 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 owned subsidiary.</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effective time of the Merger, the shares of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will continue the existing business operations of Aerpio as a public reporting company under the name Aerpio Pharmaceuticals, Inc. Immediately after the Merger, on March 15, 2017, Aerpio converted into a Delaware limited liability company (the “Conversion”).</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“2017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2017 Offering, and (ii) all members of the Company’s executive management and Board of Directors are from Aerpio. In accordance with “reverse merger” or “reverse acquisition” accounting treatment, the unaudited condensed consolidated financial statements for the periods ended March 31, 2019 and 2018, include the accounts of the Company and its wholly owned subsidiary, Aerpio Therapeutics, LLC.</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to date has been primarily limited to license revenue from Gossamer Bio., Inc, during 2018. Future revenue is dependent on the terms of the license agreement with Gossamer Bio., Inc as further described in Footnote 11. The Company’s product candidates are subject to long development cycles, and there is no assurance the Company will be able to successfully develop, obtain regulatory approval for, or market its product candidates.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$53.4 million at March 31, 2019 and financial condition as of this Quarterly Report on Form 10-Q, we believe our existing cash and cash equivalent will be sufficient to fund currently planned operations at least through the second quarter of fiscal year 2021.</w:t>
      </w:r>
    </w:p>
    <w:p>
      <w:pPr>
        <w:spacing w:after="0" w:line="209" w:lineRule="exact"/>
        <w:rPr>
          <w:sz w:val="20"/>
          <w:szCs w:val="20"/>
          <w:color w:val="auto"/>
        </w:rPr>
      </w:pPr>
    </w:p>
    <w:p>
      <w:pPr>
        <w:ind w:right="782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00"/>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All adjustments are of a normal and recurring in nature. These unaudited condensed consolidated financial statements should be read in conjunction with the consolidated financial statements of the Company for the year ended December 31, 2018, included in the Annual Report on Form 10-K filed with the SEC on March 7, 2019. The results of operations for the interim periods are not necessarily indicative of results of operations for a full year. The Company’s condensed consolidated financial statements are stated in U.S. Dollars.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grant date fair value of the Company’s stock-based awards, accrued expenses, revenue recognition and income taxes.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original maturities of three months or less at the time of purchase. The Company does maintain balances with its banks in excess of federally insured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Upfront License Fees: </w:t>
      </w:r>
      <w:r>
        <w:rPr>
          <w:rFonts w:ascii="Arial" w:cs="Arial" w:eastAsia="Arial" w:hAnsi="Arial"/>
          <w:sz w:val="17"/>
          <w:szCs w:val="17"/>
          <w:color w:val="auto"/>
        </w:rPr>
        <w:t>If a license to the Company’s intellectual property is determined to be distinct from the other performance obligations identified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 w:name="page10"/>
    <w:bookmarkEnd w:id="9"/>
    <w:p>
      <w:pPr>
        <w:ind w:right="60"/>
        <w:spacing w:after="0" w:line="288" w:lineRule="auto"/>
        <w:rPr>
          <w:sz w:val="20"/>
          <w:szCs w:val="20"/>
          <w:color w:val="auto"/>
        </w:rPr>
      </w:pPr>
      <w:r>
        <w:rPr>
          <w:rFonts w:ascii="Arial" w:cs="Arial" w:eastAsia="Arial" w:hAnsi="Arial"/>
          <w:sz w:val="16"/>
          <w:szCs w:val="16"/>
          <w:i w:val="1"/>
          <w:iCs w:val="1"/>
          <w:color w:val="auto"/>
        </w:rPr>
        <w:t>Development Milestone Payments</w:t>
      </w:r>
      <w:r>
        <w:rPr>
          <w:rFonts w:ascii="Arial" w:cs="Arial" w:eastAsia="Arial" w:hAnsi="Arial"/>
          <w:sz w:val="16"/>
          <w:szCs w:val="16"/>
          <w:color w:val="auto"/>
        </w:rPr>
        <w:t>: Depending on facts and circumstances, the Company may conclude it is appropriate to include the milestone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6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Sales-based Milestone and Royalty Payments: </w:t>
      </w:r>
      <w:r>
        <w:rPr>
          <w:rFonts w:ascii="Arial" w:cs="Arial" w:eastAsia="Arial" w:hAnsi="Arial"/>
          <w:sz w:val="16"/>
          <w:szCs w:val="16"/>
          <w:color w:val="auto"/>
        </w:rPr>
        <w:t>The Company’s collaborators may be required to pay the Company sales-based milestone payments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6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or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2019 and December 31, 2018, the Company does not have any uncertain tax positions. The Company recognizes interest and penalties related to uncertain tax positions, if any exist, in income tax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Net and Comprehensive Loss per Share</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basic net and comprehensive loss per share is calculated by dividing the net and comprehensive loss by the weighted average number of shares of common stock outstanding for the period. The diluted net and comprehensive loss per share attributable to common stockholders is computed by adjusting the weighted average shares outstanding for the dilutive effect of common stock equivalents outstanding for the period, determined using the treasury stock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its stock-based compensation awards in accordance with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or ASC</w:t>
      </w:r>
    </w:p>
    <w:p>
      <w:pPr>
        <w:spacing w:after="0" w:line="35" w:lineRule="exact"/>
        <w:rPr>
          <w:sz w:val="20"/>
          <w:szCs w:val="20"/>
          <w:color w:val="auto"/>
        </w:rPr>
      </w:pPr>
    </w:p>
    <w:p>
      <w:pPr>
        <w:ind w:right="40" w:firstLine="8"/>
        <w:spacing w:after="0" w:line="253" w:lineRule="auto"/>
        <w:tabs>
          <w:tab w:leader="none" w:pos="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ASC 718 requires all stock-based payments to employees, including grants of employee stock options</w:t>
      </w:r>
      <w:r>
        <w:rPr>
          <w:rFonts w:ascii="Arial" w:cs="Arial" w:eastAsia="Arial" w:hAnsi="Arial"/>
          <w:sz w:val="18"/>
          <w:szCs w:val="18"/>
          <w:color w:val="auto"/>
          <w:strike w:val="1"/>
        </w:rPr>
        <w:t>,</w:t>
      </w:r>
      <w:r>
        <w:rPr>
          <w:rFonts w:ascii="Arial" w:cs="Arial" w:eastAsia="Arial" w:hAnsi="Arial"/>
          <w:sz w:val="18"/>
          <w:szCs w:val="18"/>
          <w:color w:val="auto"/>
        </w:rPr>
        <w:t xml:space="preserve"> to be recognized in the condensed consolidated statements of operations and comprehensive net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Due to the historical lack of significant trading on a public market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or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900" w:right="40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spacing w:after="0" w:line="276"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three months ended March 31, 2019. The assets of the Company measured at fair value on a recurring basis as of March 31, 2019 and December 31, 2018, are summarized below:</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Fair Value Measurements Using</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March 31, 2019</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53,422,532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53,422,532</w:t>
            </w:r>
          </w:p>
        </w:tc>
        <w:tc>
          <w:tcPr>
            <w:tcW w:w="100" w:type="dxa"/>
            <w:vAlign w:val="bottom"/>
            <w:shd w:val="clear" w:color="auto" w:fill="CFF0FC"/>
          </w:tcPr>
          <w:p>
            <w:pPr>
              <w:spacing w:after="0"/>
              <w:rPr>
                <w:sz w:val="19"/>
                <w:szCs w:val="19"/>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53,422,532</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53,422,532</w:t>
            </w:r>
          </w:p>
        </w:tc>
        <w:tc>
          <w:tcPr>
            <w:tcW w:w="100" w:type="dxa"/>
            <w:vAlign w:val="bottom"/>
            <w:tcBorders>
              <w:bottom w:val="single" w:sz="8" w:color="CFF0FC"/>
            </w:tcBorders>
          </w:tcPr>
          <w:p>
            <w:pPr>
              <w:spacing w:after="0"/>
              <w:rPr>
                <w:sz w:val="22"/>
                <w:szCs w:val="22"/>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62,614,010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62,614,010</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62,614,010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62,614,010</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March 31, 2019 and December 31, 2018,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unique and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and adopted by the Company as of the specified effective date. Unless otherwise discussed, the Company believes the impact of recently issued standards that are not yet effective will not have a material impact on its condensed consolidated financial position or results of operations upon adoption.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line="273" w:lineRule="auto"/>
        <w:rPr>
          <w:sz w:val="20"/>
          <w:szCs w:val="20"/>
          <w:color w:val="auto"/>
        </w:rPr>
      </w:pPr>
      <w:r>
        <w:rPr>
          <w:rFonts w:ascii="Arial" w:cs="Arial" w:eastAsia="Arial" w:hAnsi="Arial"/>
          <w:sz w:val="17"/>
          <w:szCs w:val="17"/>
          <w:color w:val="auto"/>
        </w:rPr>
        <w:t xml:space="preserve">In May 2014, the FASB issued amended guidance for revenue recognition,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This ASU outlines a single comprehensive model for entities to use in accounting for revenue arising from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The core principle of the guidance is that an entity should recognize revenue for the transfer of promised goods or services to customers in an amount that reflects the consideration to which the entity expects to be entitled in exchange for those goods and services. Additionally, the ASU requires improved disclosure to help users of financial statements better understand the nature, amount, timing and uncertainty of revenue that is recognized. The Company adopted the new guidance on January 1, 2018, as it relates to the Agreement discussed in Footnote 11.</w:t>
      </w:r>
    </w:p>
    <w:p>
      <w:pPr>
        <w:spacing w:after="0" w:line="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to enhance the transparency and comparability of financial reporting related to leasing arrangements. Under this new lease standard, leases are required to be recognized on the balance sheet as right-of-use assets and operating lease liabilities. Disclosure requirements have been enhanced with the objective of enabling financial statement users to assess the amount, timing, and uncertainty of cash flows arising from leases. The Company adopted the new guidance on January 1, 2019. See additional discussion in Footnote 9.</w:t>
      </w:r>
    </w:p>
    <w:p>
      <w:pPr>
        <w:spacing w:after="0" w:line="4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In July 2018, the FASB issued ASU 2018-11, Leases, Targeted Improvements, (“ASU 2018-11”), which contains certain amendments to ASU 2016-02 intended to provide relief in implementing the new standard. ASU 2018-11 provides registrants with an option to not restate comparative periods presented in the financial statements. The Company adopted this new standard on January 1, 2019 (the “adoption date”) using a cumulative-effect adjustment on the effective date of the standard, for which comparative periods are presented in accordance with the previous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adopting the new standard, the Company elected to utilize the available package of practical expedients permitted under the transition guidance within the new standard The expedients used by the Company are as follows: (1) allowing an entity to not reassess the lease classification for any expired or existing leases, (2) allowing an entity to not reassess the treatment of initial direct costs as they related to existing leases, and (3) allowing an entity to not reassess whether expired or existing contracts are or contain leases. Additionally, the Company made an accounting policy election to keep leases with a term of 12 months or less off of its condensed consolidated balance sheet. The Company adopted the new guidance on January 1, 2019. See additional discussion in Footnote 9.</w:t>
      </w:r>
    </w:p>
    <w:p>
      <w:pPr>
        <w:spacing w:after="0" w:line="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August 2016, the FASB issued ASU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The objective of this ASU is to provide additional guidance and reduce diversity in practice when classifying certain transactions within the statement of cash flows. The Company adopted this ASU as of January 1, 2018. The adoption of this ASU did not have a material impact on the Company’s condensed consolidated financial statements.</w:t>
      </w:r>
    </w:p>
    <w:p>
      <w:pPr>
        <w:spacing w:after="0" w:line="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ASU requires that the statement of cash flows explain the change during the period in the total of cash, cash equivalents, and amounts generally described as restricted cash or restricted cash equivalents. This ASU is effective for financial statements issued for fiscal years beginning after December 15, 2017, including interim periods within those fiscal years. The Company adopted this ASU as of January 1, 2018. The adoption of this ASU did not have a material impact on the Company’s condensed consolidated financial statements.</w:t>
      </w:r>
    </w:p>
    <w:p>
      <w:pPr>
        <w:spacing w:after="0" w:line="8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Stock Compensation - Scope of Modification Accounting.”</w:t>
      </w:r>
      <w:r>
        <w:rPr>
          <w:rFonts w:ascii="Arial" w:cs="Arial" w:eastAsia="Arial" w:hAnsi="Arial"/>
          <w:sz w:val="16"/>
          <w:szCs w:val="16"/>
          <w:color w:val="auto"/>
        </w:rPr>
        <w:t xml:space="preserve"> This ASU provides clarification around which changes to the terms or conditions of a share-based payment award require the application of modification accounting under ASC 718. The Company adopted this ASU as of January 1, 2018. The adoption of this ASU did not have a material impact on the Company’s condensed consolidated financial statements.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This ASU improves financial reporting for share-based payments issued to nonemployees under ASC 718 by expanding the scope of the employee share-based payments guidance to include share-based payments issued to nonemployees. The amendments in this ASU are effective for public companies for fiscal years beginning after December 31, 2018, including interim periods within that fiscal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this ASU as of January 1, 2019 and recorded a one-time cumulative adjustment of $5,717 upon adoption</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1,062,243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595,680</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460,869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487,923</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221,712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1,877,455</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Accrued vacation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126,096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90,663</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1,812,594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2,232,014</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50,498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173,182</w:t>
            </w:r>
          </w:p>
        </w:tc>
        <w:tc>
          <w:tcPr>
            <w:tcW w:w="80" w:type="dxa"/>
            <w:vAlign w:val="bottom"/>
            <w:tcBorders>
              <w:bottom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3,734,012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2019 and December 31, 2018, the Company had 300,000,000 shares of authorized common stock with par value of $0.0001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40"/>
        <w:spacing w:after="0" w:line="309"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At March 31, 2019 and December 31, 2018, the Company had warrants outstanding for the purchase of 317,562 shares of the Company’s common stock at an exercise price of $5.00 per share. The warrants have a three-year term and expire on March 15, 2020.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2019 and December 31, 2018, the Company had 10,000,000 shares of preferred stock, par value $0.0001 per share, in authorized capital. No preferred stock was issued and outstanding at March 31, 2019 and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March 2019, the Company’s Board of Directors approved a 4% increase adding 1,623,520 shares to the 2017 Plan, which increase was effective as of January 1,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5"/>
          <w:szCs w:val="15"/>
          <w:color w:val="auto"/>
        </w:rPr>
        <w:t>st</w:t>
      </w:r>
      <w:r>
        <w:rPr>
          <w:rFonts w:ascii="Arial" w:cs="Arial" w:eastAsia="Arial" w:hAnsi="Arial"/>
          <w:sz w:val="18"/>
          <w:szCs w:val="18"/>
          <w:color w:val="auto"/>
        </w:rPr>
        <w:t xml:space="preserve"> of the month after the one-year anniversary date, subject to the employee’s continuous service with the Company. The options generally expire ten years after the date of grant. The fair value of the options at the date of grant is recognized as an expense over the requisite service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and December 31, 2018, 2,762,254 and 2,959,562 shares are reserved for issuance under the 2017 Plan,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three months ended March 31,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3,351,132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1,820,828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Expired/cancelled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Outstanding, March 31, 2019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5,171,960</w:t>
            </w:r>
          </w:p>
        </w:tc>
        <w:tc>
          <w:tcPr>
            <w:tcW w:w="46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Expected to vest, March 31, 2019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3,944,243</w:t>
            </w:r>
          </w:p>
        </w:tc>
        <w:tc>
          <w:tcPr>
            <w:tcW w:w="2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March 31, 2019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1,227,717</w:t>
            </w:r>
          </w:p>
        </w:tc>
        <w:tc>
          <w:tcPr>
            <w:tcW w:w="46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309" w:lineRule="auto"/>
        <w:rPr>
          <w:sz w:val="20"/>
          <w:szCs w:val="20"/>
          <w:color w:val="auto"/>
        </w:rPr>
      </w:pPr>
      <w:r>
        <w:rPr>
          <w:rFonts w:ascii="Arial" w:cs="Arial" w:eastAsia="Arial" w:hAnsi="Arial"/>
          <w:sz w:val="18"/>
          <w:szCs w:val="18"/>
          <w:color w:val="auto"/>
        </w:rPr>
        <w:t>Aggregate intrinsic value represents the estimated fair value of the Company’s common stock at in excess of the weighted average exercise price multiplied by the number of options outstanding or exercisable.</w:t>
      </w:r>
    </w:p>
    <w:p>
      <w:pPr>
        <w:spacing w:after="0" w:line="3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the three months ended March 31, 2019 and 2018, the Company recognized compensation expense for stock options of $621,685 and $731,373, respectively. As of March 31, 2019, there was $6,675,120 of unrecognized compensation cost related to stock options, which is expected to be recognized over a weighted average period of 3.07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compensation expense for restricted stock of $0 and $348,348 for the three months ended March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restricted stock vested in October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268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23"/>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159,331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59,064</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462,354</w:t>
            </w:r>
          </w:p>
        </w:tc>
        <w:tc>
          <w:tcPr>
            <w:tcW w:w="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1,020,657</w:t>
            </w:r>
          </w:p>
        </w:tc>
        <w:tc>
          <w:tcPr>
            <w:tcW w:w="60" w:type="dxa"/>
            <w:vAlign w:val="bottom"/>
            <w:tcBorders>
              <w:bottom w:val="single" w:sz="8" w:color="CFF0FC"/>
            </w:tcBorders>
          </w:tcPr>
          <w:p>
            <w:pPr>
              <w:spacing w:after="0"/>
              <w:rPr>
                <w:sz w:val="21"/>
                <w:szCs w:val="21"/>
                <w:color w:val="auto"/>
              </w:rPr>
            </w:pPr>
          </w:p>
        </w:tc>
      </w:tr>
      <w:tr>
        <w:trPr>
          <w:trHeight w:val="223"/>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621,685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1,079,721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months ended March 31, 2019 was $1.87 per share. The calculation was based on the following assumptions.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280" w:type="dxa"/>
            <w:vAlign w:val="bottom"/>
            <w:gridSpan w:val="2"/>
          </w:tcPr>
          <w:p>
            <w:pPr>
              <w:jc w:val="center"/>
              <w:ind w:left="1714"/>
              <w:spacing w:after="0"/>
              <w:rPr>
                <w:sz w:val="20"/>
                <w:szCs w:val="20"/>
                <w:color w:val="auto"/>
              </w:rPr>
            </w:pPr>
            <w:r>
              <w:rPr>
                <w:rFonts w:ascii="Arial" w:cs="Arial" w:eastAsia="Arial" w:hAnsi="Arial"/>
                <w:sz w:val="14"/>
                <w:szCs w:val="14"/>
                <w:b w:val="1"/>
                <w:bCs w:val="1"/>
                <w:color w:val="auto"/>
                <w:w w:val="95"/>
              </w:rPr>
              <w:t>Three Months Ended</w:t>
            </w:r>
          </w:p>
        </w:tc>
        <w:tc>
          <w:tcPr>
            <w:tcW w:w="2980" w:type="dxa"/>
            <w:vAlign w:val="bottom"/>
          </w:tcPr>
          <w:p>
            <w:pPr>
              <w:spacing w:after="0"/>
              <w:rPr>
                <w:sz w:val="16"/>
                <w:szCs w:val="16"/>
                <w:color w:val="auto"/>
              </w:rPr>
            </w:pPr>
          </w:p>
        </w:tc>
      </w:tr>
      <w:tr>
        <w:trPr>
          <w:trHeight w:val="201"/>
        </w:trPr>
        <w:tc>
          <w:tcPr>
            <w:tcW w:w="2980" w:type="dxa"/>
            <w:vAlign w:val="bottom"/>
          </w:tcPr>
          <w:p>
            <w:pPr>
              <w:spacing w:after="0"/>
              <w:rPr>
                <w:sz w:val="17"/>
                <w:szCs w:val="17"/>
                <w:color w:val="auto"/>
              </w:rPr>
            </w:pPr>
          </w:p>
        </w:tc>
        <w:tc>
          <w:tcPr>
            <w:tcW w:w="2200" w:type="dxa"/>
            <w:vAlign w:val="bottom"/>
            <w:tcBorders>
              <w:bottom w:val="single" w:sz="8" w:color="CFF0FC"/>
            </w:tcBorders>
          </w:tcPr>
          <w:p>
            <w:pPr>
              <w:spacing w:after="0"/>
              <w:rPr>
                <w:sz w:val="17"/>
                <w:szCs w:val="17"/>
                <w:color w:val="auto"/>
              </w:rPr>
            </w:pPr>
          </w:p>
        </w:tc>
        <w:tc>
          <w:tcPr>
            <w:tcW w:w="190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March 31, 2019</w:t>
            </w:r>
          </w:p>
        </w:tc>
        <w:tc>
          <w:tcPr>
            <w:tcW w:w="2980" w:type="dxa"/>
            <w:vAlign w:val="bottom"/>
          </w:tcPr>
          <w:p>
            <w:pPr>
              <w:spacing w:after="0"/>
              <w:rPr>
                <w:sz w:val="17"/>
                <w:szCs w:val="17"/>
                <w:color w:val="auto"/>
              </w:rPr>
            </w:pPr>
          </w:p>
        </w:tc>
      </w:tr>
      <w:tr>
        <w:trPr>
          <w:trHeight w:val="223"/>
        </w:trPr>
        <w:tc>
          <w:tcPr>
            <w:tcW w:w="2980" w:type="dxa"/>
            <w:vAlign w:val="bottom"/>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9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ind w:right="19"/>
              <w:spacing w:after="0"/>
              <w:rPr>
                <w:sz w:val="20"/>
                <w:szCs w:val="20"/>
                <w:color w:val="auto"/>
              </w:rPr>
            </w:pPr>
            <w:r>
              <w:rPr>
                <w:rFonts w:ascii="Arial" w:cs="Arial" w:eastAsia="Arial" w:hAnsi="Arial"/>
                <w:sz w:val="18"/>
                <w:szCs w:val="18"/>
                <w:color w:val="auto"/>
                <w:w w:val="91"/>
              </w:rPr>
              <w:t>5.70</w:t>
            </w:r>
          </w:p>
        </w:tc>
        <w:tc>
          <w:tcPr>
            <w:tcW w:w="2980" w:type="dxa"/>
            <w:vAlign w:val="bottom"/>
          </w:tcPr>
          <w:p>
            <w:pPr>
              <w:spacing w:after="0"/>
              <w:rPr>
                <w:sz w:val="19"/>
                <w:szCs w:val="19"/>
                <w:color w:val="auto"/>
              </w:rPr>
            </w:pPr>
          </w:p>
        </w:tc>
      </w:tr>
      <w:tr>
        <w:trPr>
          <w:trHeight w:val="230"/>
        </w:trPr>
        <w:tc>
          <w:tcPr>
            <w:tcW w:w="298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gridSpan w:val="2"/>
          </w:tcPr>
          <w:p>
            <w:pPr>
              <w:jc w:val="center"/>
              <w:ind w:left="1714"/>
              <w:spacing w:after="0"/>
              <w:rPr>
                <w:sz w:val="20"/>
                <w:szCs w:val="20"/>
                <w:color w:val="auto"/>
              </w:rPr>
            </w:pPr>
            <w:r>
              <w:rPr>
                <w:rFonts w:ascii="Arial" w:cs="Arial" w:eastAsia="Arial" w:hAnsi="Arial"/>
                <w:sz w:val="18"/>
                <w:szCs w:val="18"/>
                <w:color w:val="auto"/>
                <w:w w:val="93"/>
              </w:rPr>
              <w:t>2.49%</w:t>
            </w:r>
          </w:p>
        </w:tc>
        <w:tc>
          <w:tcPr>
            <w:tcW w:w="2980" w:type="dxa"/>
            <w:vAlign w:val="bottom"/>
          </w:tcPr>
          <w:p>
            <w:pPr>
              <w:spacing w:after="0"/>
              <w:rPr>
                <w:sz w:val="19"/>
                <w:szCs w:val="19"/>
                <w:color w:val="auto"/>
              </w:rPr>
            </w:pPr>
          </w:p>
        </w:tc>
      </w:tr>
      <w:tr>
        <w:trPr>
          <w:trHeight w:val="243"/>
        </w:trPr>
        <w:tc>
          <w:tcPr>
            <w:tcW w:w="298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280" w:type="dxa"/>
            <w:vAlign w:val="bottom"/>
            <w:gridSpan w:val="2"/>
            <w:shd w:val="clear" w:color="auto" w:fill="CFF0FC"/>
          </w:tcPr>
          <w:p>
            <w:pPr>
              <w:jc w:val="center"/>
              <w:ind w:left="1714"/>
              <w:spacing w:after="0"/>
              <w:rPr>
                <w:sz w:val="20"/>
                <w:szCs w:val="20"/>
                <w:color w:val="auto"/>
              </w:rPr>
            </w:pPr>
            <w:r>
              <w:rPr>
                <w:rFonts w:ascii="Arial" w:cs="Arial" w:eastAsia="Arial" w:hAnsi="Arial"/>
                <w:sz w:val="18"/>
                <w:szCs w:val="18"/>
                <w:color w:val="auto"/>
                <w:w w:val="91"/>
              </w:rPr>
              <w:t>65.62%</w:t>
            </w:r>
          </w:p>
        </w:tc>
        <w:tc>
          <w:tcPr>
            <w:tcW w:w="2980" w:type="dxa"/>
            <w:vAlign w:val="bottom"/>
          </w:tcPr>
          <w:p>
            <w:pPr>
              <w:spacing w:after="0"/>
              <w:rPr>
                <w:sz w:val="21"/>
                <w:szCs w:val="21"/>
                <w:color w:val="auto"/>
              </w:rPr>
            </w:pPr>
          </w:p>
        </w:tc>
      </w:tr>
      <w:tr>
        <w:trPr>
          <w:trHeight w:val="230"/>
        </w:trPr>
        <w:tc>
          <w:tcPr>
            <w:tcW w:w="298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gridSpan w:val="2"/>
          </w:tcPr>
          <w:p>
            <w:pPr>
              <w:jc w:val="center"/>
              <w:ind w:left="1714"/>
              <w:spacing w:after="0"/>
              <w:rPr>
                <w:sz w:val="20"/>
                <w:szCs w:val="20"/>
                <w:color w:val="auto"/>
              </w:rPr>
            </w:pPr>
            <w:r>
              <w:rPr>
                <w:rFonts w:ascii="Arial" w:cs="Arial" w:eastAsia="Arial" w:hAnsi="Arial"/>
                <w:sz w:val="18"/>
                <w:szCs w:val="18"/>
                <w:color w:val="auto"/>
                <w:w w:val="92"/>
              </w:rPr>
              <w:t>0%</w:t>
            </w:r>
          </w:p>
        </w:tc>
        <w:tc>
          <w:tcPr>
            <w:tcW w:w="2980" w:type="dxa"/>
            <w:vAlign w:val="bottom"/>
          </w:tcPr>
          <w:p>
            <w:pPr>
              <w:spacing w:after="0"/>
              <w:rPr>
                <w:sz w:val="20"/>
                <w:szCs w:val="20"/>
                <w:color w:val="auto"/>
              </w:rPr>
            </w:pPr>
          </w:p>
        </w:tc>
      </w:tr>
      <w:tr>
        <w:trPr>
          <w:trHeight w:val="674"/>
        </w:trPr>
        <w:tc>
          <w:tcPr>
            <w:tcW w:w="2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00" w:type="dxa"/>
            <w:vAlign w:val="bottom"/>
          </w:tcPr>
          <w:p>
            <w:pPr>
              <w:jc w:val="right"/>
              <w:ind w:right="1194"/>
              <w:spacing w:after="0"/>
              <w:rPr>
                <w:sz w:val="20"/>
                <w:szCs w:val="20"/>
                <w:color w:val="auto"/>
              </w:rPr>
            </w:pPr>
            <w:r>
              <w:rPr>
                <w:rFonts w:ascii="Arial" w:cs="Arial" w:eastAsia="Arial" w:hAnsi="Arial"/>
                <w:sz w:val="18"/>
                <w:szCs w:val="18"/>
                <w:color w:val="auto"/>
              </w:rPr>
              <w:t>14</w:t>
            </w:r>
          </w:p>
        </w:tc>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15"/>
        </w:trPr>
        <w:tc>
          <w:tcPr>
            <w:tcW w:w="29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months ended March 31, 2019 and 2018 due to the Company’s net losses and increases in its deferred tax asset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and Comprehensive Loss per Share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 attributable to</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(8,492,825)</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stockholders</w:t>
            </w:r>
          </w:p>
        </w:tc>
        <w:tc>
          <w:tcPr>
            <w:tcW w:w="320" w:type="dxa"/>
            <w:vAlign w:val="bottom"/>
            <w:vMerge w:val="continue"/>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(7,425,532)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used in</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and comprehensive loss per share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 basic and</w:t>
            </w: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27,045,509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 per share attributable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common stockholders, basic and 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basic and diluted net and comprehensive loss per share attributable to common stockholders for the three-month periods presented: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08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49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5,171,960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1,895,307</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80,230</w:t>
            </w:r>
          </w:p>
        </w:tc>
        <w:tc>
          <w:tcPr>
            <w:tcW w:w="6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317,562</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317,562</w:t>
            </w:r>
          </w:p>
        </w:tc>
        <w:tc>
          <w:tcPr>
            <w:tcW w:w="6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leases certain properties and buildings under various arrangements which provide the right to use the underlying asset and require lease payments for the lease term. Many of the property and building lease agreements obligate the Company to pay real estate taxes, insurance and certain maintenance costs (hereinafter referred to as non-lease components). Certain of the Company’s lease arrangements contain renewal provisions from 1 to 3 years, exercisable at the Company's option. The Company’s lease agreements do not contain any material residual value guarantees or material restrictive covenants.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determines if an arrangement is an operating lease at inception. Leases with an initial term of 12 months or less are not recorded on the balance sheet. All other leases are recorded on the balance sheet with a corresponding operating lease asset, net, representing the right to use the underlying asset for the lease term and the operating lease liabilities representing the obligation to make lease payments arising from the lease.</w:t>
      </w:r>
    </w:p>
    <w:p>
      <w:pPr>
        <w:spacing w:after="0" w:line="57"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condensed consolidated statements of operations and comprehensive loss.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and operating lease liabilities: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556"/>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Average rent expense</w:t>
            </w: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62,005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w w:val="94"/>
              </w:rPr>
              <w:t>Cash paid for amounts included in the measurement of operating</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7"/>
              </w:rPr>
              <w:t>Operating cash flows from operating leases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60" w:type="dxa"/>
            <w:vAlign w:val="bottom"/>
            <w:gridSpan w:val="6"/>
          </w:tcPr>
          <w:p>
            <w:pPr>
              <w:ind w:left="240"/>
              <w:spacing w:after="0"/>
              <w:rPr>
                <w:sz w:val="20"/>
                <w:szCs w:val="20"/>
                <w:color w:val="auto"/>
              </w:rPr>
            </w:pPr>
            <w:r>
              <w:rPr>
                <w:rFonts w:ascii="Arial" w:cs="Arial" w:eastAsia="Arial" w:hAnsi="Arial"/>
                <w:sz w:val="18"/>
                <w:szCs w:val="18"/>
                <w:color w:val="auto"/>
                <w:w w:val="96"/>
              </w:rPr>
              <w:t>Operating lease right-of-use assets obtained in exchange for new</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2.53 years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w w:val="89"/>
              </w:rPr>
              <w:t>Weighted-average discount rate - operating leases</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458"/>
        </w:trPr>
        <w:tc>
          <w:tcPr>
            <w:tcW w:w="8900" w:type="dxa"/>
            <w:vAlign w:val="bottom"/>
            <w:gridSpan w:val="12"/>
          </w:tcPr>
          <w:p>
            <w:pPr>
              <w:jc w:val="right"/>
              <w:ind w:right="1060"/>
              <w:spacing w:after="0"/>
              <w:rPr>
                <w:sz w:val="20"/>
                <w:szCs w:val="20"/>
                <w:color w:val="auto"/>
              </w:rPr>
            </w:pPr>
            <w:r>
              <w:rPr>
                <w:rFonts w:ascii="Arial" w:cs="Arial" w:eastAsia="Arial" w:hAnsi="Arial"/>
                <w:sz w:val="18"/>
                <w:szCs w:val="18"/>
                <w:color w:val="auto"/>
                <w:w w:val="90"/>
              </w:rPr>
              <w:t>As of March 31, 2019, future payments related to operating leases activities are presented in the table below:</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2021 and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Total Lease</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185,507</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239,781</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191,685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616,973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4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89,725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527,248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Stock Purchase Plan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2019, the Company’s Board of Directors approved an increase of 350,000 shares to the ESPP, which increase was effective as of January 1, 2019. No shares under the ESPP are outstanding at March 31, 2019 and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w:t>
      </w:r>
    </w:p>
    <w:p>
      <w:pPr>
        <w:spacing w:after="0" w:line="1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24, 2018, the Company entered into a License Agreement (the “Agreement”) with a wholly-owned subsidiary of Gossamer Bio, Inc., GB004, Inc. (collectively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Agreement, Gossamer is obligated to use its commercially reasonable efforts to develop and commercialize licensed products in the United States, two major European countries and Japan for at least one of the initial indications. The Agreement includes an exclusivity provision that prohibits the Company from developing, manufacturing or commercializing, and prohibits Gossamer from clinically developing or commercializing certain HIF stabilizing compounds other than as permitted in the Agreement. Pursuant to the terms of the Agreement, Gossamer made an upfront payment to the Company of $20.0 million on June 28, 2018, which was fully recognized in 2018 (in accordance with ASC 606).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Agreement for an uncured material breach by the other party or upon the bankruptcy or insolvency of the other party. Gossamer may terminate the Agreement in the event Gossamer determines there is a potential safety or efficacy issue with the licensed products. The Company may terminate the Agreement if Gossamer institutes certain actions related to the licensed patents. Under certain termination circumstances, the Company would have worldwide rights to the terminated program.</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31, 2019 all development milestones, sales-based milestones and royalty payments within the Agreement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1, 2019, the Company’s board of directors approved a realignment plan to reduce operating costs and better align its workforce with the needs of its ongoing business. The realignment plan reduces its current workforce by 11 employees, representing approximately 41% of the Company’s workforce. The Company estimates it will incur one-time aggregate expenses of approximately $0.9 million for employee related costs, including severance benefits, payment of healthcare insurance premiums and outplacement assistance for specified periods.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7"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900" w:right="24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including with Gossamer, as well as the expected benefits from such collaboration;</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i w:val="1"/>
          <w:iCs w:val="1"/>
          <w:color w:val="auto"/>
        </w:rPr>
        <w:t>The following discussion of the financial condition and results of operations of Aerpio Pharmaceuticals, Inc. should be read in conjunction with the condensed consolidated financial statements and the notes to those statements included in this Quarterly Report on Form 10-Q for the period ended March 31, 2019.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2018 for a discussion of important factors that could cause actual results to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a biopharmaceutical company focused on developing compounds that activate Tie2 to treat ocular diseases and diabetic complications.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March 2019, we announced the top line results of the Phase 2b (TIME-2b) clinical trial which we initiated in June 2017 for the treatment of non-proliferative diabetic retinopathy, or NPDR, a disease characterized by progressive compromise of blood vessels in the back of the eye. While we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or DRSS, in the study eye, compared to placebo.</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AKB-9778 showed encouraging data in a number of prespecified, key secondary endpoints, consistent with the observations in the prior Phase 2a (TIME-2) trial related to the changes in the Urine Albumin-Creatinine Ratio or UACR, a measure of kidney function.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w:t>
      </w:r>
    </w:p>
    <w:p>
      <w:pPr>
        <w:spacing w:after="0" w:line="8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AKB-9778 also showed encouraging data for reducing intraocular pressure in primary open angle glaucoma, or POAG, and ocular hypertension. We plan to advance a topical drop formulation of AKB-9778 into clinical development and expect to initiate a Phase 1b clinical trial in the second quarter of 2019 with results anticipated by the end of 2019.</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ARP-1536, our humanized monoclonal antibody directed at the same target as AKB-9778, is in preclinical development. We are evaluating development options for ARP-1536, including subcutaneous injection for the treatment of diabetic vascular complications.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2018, we licensed AKB-4924, a selective stabilizer of hypoxia-inducible factor-1 alpha, or HIF-1 alpha to Gossamer Bio, Inc. (“Gossamer”) AKB-4924, (now called GB004), is being developed for the treatment of inflammatory bowel disease (IBD). HIF-1 alpha is involved in mucosal wound healing and the reduction of inflammation in the gastrointestinal tract. Gossamer is currently conducting a multiple ascending dose, or MAD study and is responsible for all remaining development and commercial activities for GB004.</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for the license agreement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transition services or from our product candidates. Our product candidates are subject to long development cycles, and there is no assurance we will be able to successfully develop, obtain regulatory approval for, or market our product candidates. As of March 31, 2019, we had an accumulated deficit of $127.5 million and anticipate incurring additional losses for the next several years.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source of liquidity to date has been through public and private sales of our common stock, redeemable convertible preferred stock, convertible debt and the proceeds from the Gossamer License Agreement.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spacing w:after="0" w:line="279"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6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$53.4 million at March 31, 2019 and financial condition as of this Quarterly Report on Form 10-Q, we believe our existing cash and cash equivalent will be sufficient to fund currently planned operations at least through the second quarter of fiscal year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the consolidated statements of operation and comprehensive loss presented herein. The following discussion and analysis are based on the Company’s condensed consolidated financial statements contained in this Form 10-Q, which we have prepared in accordance with U.S. generally accepted accounting principles. You should read the discussion and analysis together with such condensed consolidated financial statements and the related notes thereto.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growing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8"/>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5,586,251</w:t>
            </w:r>
          </w:p>
        </w:tc>
        <w:tc>
          <w:tcPr>
            <w:tcW w:w="80" w:type="dxa"/>
            <w:vAlign w:val="bottom"/>
          </w:tcPr>
          <w:p>
            <w:pPr>
              <w:spacing w:after="0"/>
              <w:rPr>
                <w:sz w:val="19"/>
                <w:szCs w:val="19"/>
                <w:color w:val="auto"/>
              </w:rPr>
            </w:pPr>
          </w:p>
        </w:tc>
        <w:tc>
          <w:tcPr>
            <w:tcW w:w="540" w:type="dxa"/>
            <w:vAlign w:val="bottom"/>
            <w:gridSpan w:val="3"/>
          </w:tcPr>
          <w:p>
            <w:pPr>
              <w:jc w:val="right"/>
              <w:ind w:right="18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4,028,812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3,255,042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3,447,836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172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8,841,293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7,476,648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(8,841,293)</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(7,476,648)</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 income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15,348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333,120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1720"/>
              <w:spacing w:after="0"/>
              <w:rPr>
                <w:sz w:val="20"/>
                <w:szCs w:val="20"/>
                <w:color w:val="auto"/>
              </w:rPr>
            </w:pPr>
            <w:r>
              <w:rPr>
                <w:rFonts w:ascii="Arial" w:cs="Arial" w:eastAsia="Arial" w:hAnsi="Arial"/>
                <w:sz w:val="18"/>
                <w:szCs w:val="18"/>
                <w:color w:val="auto"/>
              </w:rPr>
              <w:t>Total other income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348,468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40" w:type="dxa"/>
            <w:vAlign w:val="bottom"/>
            <w:tcBorders>
              <w:top w:val="single" w:sz="8" w:color="auto"/>
              <w:bottom w:val="single" w:sz="8" w:color="auto"/>
            </w:tcBorders>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(8,492,825)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(7,425,532)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Three Months Ended March 31, 2019 and 2018</w:t>
            </w: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8"/>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5,586,251</w:t>
            </w:r>
          </w:p>
        </w:tc>
        <w:tc>
          <w:tcPr>
            <w:tcW w:w="240" w:type="dxa"/>
            <w:vAlign w:val="bottom"/>
            <w:gridSpan w:val="2"/>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4,028,812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3,255,042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3,447,836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8,841,293</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7,476,648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Research and development expenses for the three months ended March 31, 2019 increased approximately $1.6 million or 38.7%, compared to the three months ended March 31, 2018. This was the result of increased spending on AKB-9778, offset by a reduction of expenses related to AKB-4924. Research and development expenses are primarily attributed to the costs of the AKB-9778 Phase 2 clinical trial which concluded during the first quarter of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General and administrative expenses for the three months ended March 31, 2019, decreased approximately $0.2 million, or 5.6%, compared to the three months ended March 31, 2018. This decrease was primarily attributable to a decrease in stock-based compensation of $0.6 million offset by an increase in patent legal expenses of $0.2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Grant income</w:t>
            </w: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15,348</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333,120</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51,116</w:t>
            </w:r>
          </w:p>
        </w:tc>
        <w:tc>
          <w:tcPr>
            <w:tcW w:w="6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348,468</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51,116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in the three months ended March 31, 2019 and 2018, reflects interest earned on short term money market instruments. The net proceeds from our underwritten public offering in June 2018 and upfront payment received in conjunction with the execution of the license agreement with Gossamer in June 2018, less cash used in operations, were available for investment and generated more interest income in the three months ended March 31, 2019, compared to the prior period.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Since inception, we have incurred significant net and comprehensive losses and negative cash flows from operations. For the three months ended March 31, 2019 and 2018, we had net and comprehensive loss of $8.5 million and $7.4 million, respectively. At March 31, 2019 and December 31, 2018, we had an accumulated deficit of $127.5 million and $119.0 million, respectively.</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March 31, 2019, we had cash and cash equivalents of $53.4 million. To date, we have financed our operations principally through private and public offerings of our equity securities, private placements of our redeemable convertible preferred stock, common stock, issuances of secured convertible promissory notes and proceeds from the license agreement with Gossamer. Based on our current plans</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that our existing cash and cash equivalents, will enable us to conduct our planned operations at least through the second quarter of fiscal 2021.</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2018, we filed a shelf registration statement on Form S-3 with the SEC which was declared effective by the Securities and Exchange Commission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under the Sales Agreement. As of March 31, 2019, no shares had been sold under this Sales Agreement.</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48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(9,078,195)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(6,513,822)</w:t>
            </w:r>
          </w:p>
        </w:tc>
        <w:tc>
          <w:tcPr>
            <w:tcW w:w="8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(113,283)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(8,498)</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21,992</w:t>
            </w:r>
          </w:p>
        </w:tc>
        <w:tc>
          <w:tcPr>
            <w:tcW w:w="8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(9,191,478)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(6,500,328)</w:t>
            </w: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historically experienced negative cash outflows as we developed AKB-9778, ARP-1536 and AKB-4924.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increased spending to advance and support our product candidates in the clinic and other operating and general administrative activities.</w:t>
      </w:r>
    </w:p>
    <w:p>
      <w:pPr>
        <w:spacing w:after="0" w:line="8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For the three months ended March 31, 2019, operating activities used $9.1 million in cash as result of $1.2 million of decrease in working capital and a net loss of approximately $8.5 million, offset by $0.6 million in non-cash expenses related to stock-based compensation and depreciation expense. For the three months ended March 31, 2018, operating activities used $6.5 million in cash, primarily as a result of a net loss of $7.4 million offset by $1.1 million of non-cash expenses, consisting of stock-based compensation expense, non-cash interest expense, amortization of debt issuance costs and depreciation expense.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for the three months ended March 31, 2019 and 2018 was related to capital expenditures to support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and 2018, we received $0 and $21,922, respectively, from the exercise of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during the period covered by this Form 10-Q from the contractual obligations and commitments as of December 31, 2018 as described in our Annual Report on Form 10-K filed with the SEC on March 7,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and December 31, 2018, we did not have any off-balance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condensed consolidated financial statements are prepared in accordance with U.S. generally accepted accounting principles or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all our significant accounting policies, see the notes to our condensed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supervision of and with the participation of our management, including our Chief Executive Officer, who is our principal executive officer, and our Chief Financial Officer, who is our principal financial officer, we conducted an evaluation of the effectiveness of our disclosure controls and procedures as of March 31, 2019,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22222"/>
        </w:rPr>
        <w:t>During the quarter ended March 31, 2019,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as well as our other filings with the Securities and Exchange Commission,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incurred net losses each year since our inception, including net losses of $8.5 million and $7.4 million for the three months ended March 31, 2019 and 2018, respectively. As of March 31, 2019, we had an accumulated deficit of $127.5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We plan to initiate a Phase 1b clinical trial in the second quarter of 2019 for our lead product candidate, AKB-9778, for a topical drop formulation to treat primary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62" w:lineRule="exact"/>
        <w:rPr>
          <w:sz w:val="20"/>
          <w:szCs w:val="20"/>
          <w:color w:val="auto"/>
        </w:rPr>
      </w:pPr>
    </w:p>
    <w:p>
      <w:pPr>
        <w:ind w:left="900" w:right="32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a topical drop formulation of AKB-9778 for the treatment of primary open angle glaucoma and ocular hypertension, including as we commence our planned Phase 1b clinical trial of this product candidate.</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900" w:hanging="379"/>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initiate additional preclinical, clinical or other studies for AKB-9778, ARP-1536 and other product candidates that we may develop or acquire;</w:t>
      </w:r>
    </w:p>
    <w:p>
      <w:pPr>
        <w:spacing w:after="0" w:line="153" w:lineRule="exact"/>
        <w:rPr>
          <w:rFonts w:ascii="Arial" w:cs="Arial" w:eastAsia="Arial" w:hAnsi="Arial"/>
          <w:sz w:val="16"/>
          <w:szCs w:val="16"/>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ind w:right="40"/>
        <w:spacing w:after="0" w:line="264"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March 31, 2019, our cash and cash equivalents were $53.4 million. We believe that we will continue to expend substantial resources for the foreseeable future developing AKB-9778 for the indications that we are pursuing, such as primary open angle glaucoma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900" w:right="12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results and cost of continuing our Phase 1 program of AKB-9778 for primary open angle glaucoma and ocular hypertension and our operating costs incurred as we conduct these trials;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size, rate of progress, results and costs of initiating and completing additional development of AKB-9778;</w:t>
      </w:r>
    </w:p>
    <w:p>
      <w:pPr>
        <w:spacing w:after="0" w:line="130" w:lineRule="exact"/>
        <w:rPr>
          <w:rFonts w:ascii="Arial" w:cs="Arial" w:eastAsia="Arial" w:hAnsi="Arial"/>
          <w:sz w:val="18"/>
          <w:szCs w:val="18"/>
          <w:color w:val="auto"/>
        </w:rPr>
      </w:pPr>
    </w:p>
    <w:p>
      <w:pPr>
        <w:jc w:val="both"/>
        <w:ind w:left="900" w:right="120" w:hanging="379"/>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8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ARP-1536 if clinical trials of this product candidate are successful;</w:t>
      </w:r>
    </w:p>
    <w:p>
      <w:pPr>
        <w:spacing w:after="0" w:line="142" w:lineRule="exact"/>
        <w:rPr>
          <w:rFonts w:ascii="Arial" w:cs="Arial" w:eastAsia="Arial" w:hAnsi="Arial"/>
          <w:sz w:val="17"/>
          <w:szCs w:val="17"/>
          <w:color w:val="auto"/>
        </w:rPr>
      </w:pPr>
    </w:p>
    <w:p>
      <w:pPr>
        <w:ind w:left="900" w:right="2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900" w:right="9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53" w:lineRule="exact"/>
        <w:rPr>
          <w:rFonts w:ascii="Arial" w:cs="Arial" w:eastAsia="Arial" w:hAnsi="Arial"/>
          <w:sz w:val="16"/>
          <w:szCs w:val="16"/>
          <w:color w:val="auto"/>
        </w:rPr>
      </w:pPr>
    </w:p>
    <w:p>
      <w:pPr>
        <w:ind w:left="900" w:right="4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Based on our current operating plan, and absent any future financings or strategic partnerships, we believe that our existing cash and cash equivalents will be sufficient to fund our projected operating expenses and capital expenditure requirements at least through the second quarter of 2021.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ARP-1536 or any other product candidates that we develop or acquire, or delay, limit, reduce or terminate our establishment of sales and marketing capabilities or other activities that may be necessary to commercialize our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a wholly-owned subsidiary of Gossamer Bio, Inc. (including its affiliates, “Gossamer”) for the development and commercialization of AKB-4924. If we are unable to raise additional funds through equity or debt financing when needed, we may be required to delay, limit, reduce or terminate our product development or commercialization efforts for AKB-9778, ARP-1536 or any other product candidates that we develop or acquire,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lead product candidate, AKB-9778. Even if we obtain favorable clinical results, we may not be able to obtain regulatory approval for, or successfully commercialize, AKB-9778.</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rely on our lead product candidate, AKB-9778, and business depends almost entirely on the successful clinical development, regulatory approval and commercialization of that product candidate, which may never occur. In March 2019, we announced top line results of the Phase-2b clinical trial for AKB-9778 in the treatment of non-proliferative diabetic retinopathy. While we believed AKB-9778 had the potential to slow down or possibly reverse retinal vascular changes caused by diabetes, the subcutaneous administration of AKB-9778 twice daily did not meet the study’s primary endpoint of the percentage of patients with an improvement of two or more steps in diabetic retinopathy severity score, or DRSS, in the study eye, compared to placebo. We plan to initiate a Phase 1b clinical trial of AKB-9778 for a topical formulation to treat primary open angle glaucoma and ocular hypertension. We currently have no products for sale, generate no revenues from sales of any drugs, and may never be able to develop marketable products. AKB-9778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line="253" w:lineRule="auto"/>
        <w:rPr>
          <w:sz w:val="20"/>
          <w:szCs w:val="20"/>
          <w:color w:val="auto"/>
        </w:rPr>
      </w:pPr>
      <w:r>
        <w:rPr>
          <w:rFonts w:ascii="Arial" w:cs="Arial" w:eastAsia="Arial" w:hAnsi="Arial"/>
          <w:sz w:val="18"/>
          <w:szCs w:val="18"/>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we must complete our ongoing clinical trials, Phase 2 and 3 trials, and any additional nonclinical studies or clinical trials required by the FDA. To date, we have not completed any clinical trials of AKB-9778 for primary open angle glaucoma or ocular hypertension.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AKB-9778 will never obtain regulatory approval. The FDA may delay, limit or deny approval of AKB-9778 for many reasons, including, among others:</w:t>
      </w:r>
    </w:p>
    <w:p>
      <w:pPr>
        <w:spacing w:after="0" w:line="85" w:lineRule="exact"/>
        <w:rPr>
          <w:sz w:val="20"/>
          <w:szCs w:val="20"/>
          <w:color w:val="auto"/>
        </w:rPr>
      </w:pPr>
    </w:p>
    <w:p>
      <w:pPr>
        <w:ind w:left="900" w:right="64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AKB-9778 is safe and effective in treating patients with primary open angle glaucoma and ocular hypertension to the satisfaction of the FDA;</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42" w:lineRule="exact"/>
        <w:rPr>
          <w:rFonts w:ascii="Arial" w:cs="Arial" w:eastAsia="Arial" w:hAnsi="Arial"/>
          <w:sz w:val="17"/>
          <w:szCs w:val="17"/>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30"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research organizations, or CROs, or the clinical investigators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or GCP, requirements;</w:t>
      </w:r>
    </w:p>
    <w:p>
      <w:pPr>
        <w:spacing w:after="0" w:line="142" w:lineRule="exact"/>
        <w:rPr>
          <w:rFonts w:ascii="Arial" w:cs="Arial" w:eastAsia="Arial" w:hAnsi="Arial"/>
          <w:sz w:val="17"/>
          <w:szCs w:val="17"/>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find deficiencies with the manufacturing processes or facilities of third-party manufacturers with which we contract; or</w:t>
      </w:r>
    </w:p>
    <w:p>
      <w:pPr>
        <w:spacing w:after="0" w:line="130"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addition, similar reasons may cause the EMA or other regulatory authorities to delay, limit or deny approval of AKB-9778 outside the United States.</w:t>
      </w:r>
    </w:p>
    <w:p>
      <w:pPr>
        <w:spacing w:after="0" w:line="1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obtained agreement with the FDA, EMA or other regulatory authorities on the design of our development programs.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not obtained agreement with the FDA on the design of our planned development programs for AKB-9778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right="100"/>
        <w:spacing w:after="0" w:line="257" w:lineRule="auto"/>
        <w:rPr>
          <w:sz w:val="20"/>
          <w:szCs w:val="20"/>
          <w:color w:val="auto"/>
        </w:rPr>
      </w:pPr>
      <w:r>
        <w:rPr>
          <w:rFonts w:ascii="Arial" w:cs="Arial" w:eastAsia="Arial" w:hAnsi="Arial"/>
          <w:sz w:val="18"/>
          <w:szCs w:val="18"/>
          <w:color w:val="auto"/>
        </w:rPr>
        <w:t>We have not yet sought guidance for the regulatory path for the topical formulation of AKB-9778 for primary open angle glaucoma and ocular hypertension with the FDA, EMA or other regulatory authorities.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AKB-9778, any such delay or increase in costs would have an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30"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or any other product candidate in relation to available therapies or other products under development;</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0" w:name="page31"/>
    <w:bookmarkEnd w:id="30"/>
    <w:p>
      <w:pPr>
        <w:ind w:right="36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AKB-9778.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AKB-9778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planned clinical development program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30"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requirements and GCP requirements for any clinical trials that we conduct post-approval.</w:t>
      </w:r>
    </w:p>
    <w:p>
      <w:pPr>
        <w:spacing w:after="0" w:line="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30"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planned Phase 1b clinical trial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spacing w:after="0" w:line="276" w:lineRule="auto"/>
        <w:rPr>
          <w:sz w:val="20"/>
          <w:szCs w:val="20"/>
          <w:color w:val="auto"/>
        </w:rPr>
      </w:pPr>
      <w:r>
        <w:rPr>
          <w:rFonts w:ascii="Arial" w:cs="Arial" w:eastAsia="Arial" w:hAnsi="Arial"/>
          <w:sz w:val="17"/>
          <w:szCs w:val="17"/>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on third parties to conduct some or all aspects of our product manufacturing, and these third parties may not perform satisfactorily.</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of these third parties may terminate their engagement with us at any time. We currently have arrangements in place for the manufacturing of drug substance and drug product for our planned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0" w:lineRule="exact"/>
        <w:rPr>
          <w:rFonts w:ascii="Arial" w:cs="Arial" w:eastAsia="Arial" w:hAnsi="Arial"/>
          <w:sz w:val="18"/>
          <w:szCs w:val="18"/>
          <w:color w:val="auto"/>
        </w:rPr>
      </w:pPr>
    </w:p>
    <w:p>
      <w:pPr>
        <w:ind w:left="900" w:right="600" w:hanging="379"/>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3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ind w:right="20"/>
        <w:spacing w:after="0" w:line="259"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strictly enforced federal, state and foreign regulations that vary in each country where a product might be sold;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100"/>
        <w:spacing w:after="0" w:line="286" w:lineRule="auto"/>
        <w:rPr>
          <w:sz w:val="20"/>
          <w:szCs w:val="20"/>
          <w:color w:val="auto"/>
        </w:rPr>
      </w:pPr>
      <w:r>
        <w:rPr>
          <w:rFonts w:ascii="Arial" w:cs="Arial" w:eastAsia="Arial" w:hAnsi="Arial"/>
          <w:sz w:val="16"/>
          <w:szCs w:val="16"/>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and milestone payments contingent upon the achievement of specified milestones.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6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5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160"/>
        <w:spacing w:after="0" w:line="257" w:lineRule="auto"/>
        <w:rPr>
          <w:sz w:val="20"/>
          <w:szCs w:val="20"/>
          <w:color w:val="auto"/>
        </w:rPr>
      </w:pPr>
      <w:r>
        <w:rPr>
          <w:rFonts w:ascii="Arial" w:cs="Arial" w:eastAsia="Arial" w:hAnsi="Arial"/>
          <w:sz w:val="18"/>
          <w:szCs w:val="18"/>
          <w:color w:val="auto"/>
        </w:rPr>
        <w:t>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8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20"/>
        <w:spacing w:after="0" w:line="270"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40"/>
        <w:spacing w:after="0" w:line="302" w:lineRule="auto"/>
        <w:rPr>
          <w:sz w:val="20"/>
          <w:szCs w:val="20"/>
          <w:color w:val="auto"/>
        </w:rPr>
      </w:pPr>
      <w:r>
        <w:rPr>
          <w:rFonts w:ascii="Arial" w:cs="Arial" w:eastAsia="Arial" w:hAnsi="Arial"/>
          <w:sz w:val="16"/>
          <w:szCs w:val="16"/>
          <w:color w:val="auto"/>
        </w:rPr>
        <w:t>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 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6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AKB-9778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240"/>
        <w:spacing w:after="0" w:line="270"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Even if we obtain marketing approval for AKB-9778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3"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 netarsidil (Rhopress TM, and in combination with latanoprost, Rhoclatan TM) and l</w:t>
      </w:r>
      <w:r>
        <w:rPr>
          <w:rFonts w:ascii="Arial" w:cs="Arial" w:eastAsia="Arial" w:hAnsi="Arial"/>
          <w:sz w:val="17"/>
          <w:szCs w:val="17"/>
          <w:color w:val="545454"/>
        </w:rPr>
        <w:t>atanoprostene bunod (Vyzulta TM).</w:t>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we demonstrate that AKB-9778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2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7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900" w:hanging="379"/>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9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and will remain in effect through 2027 unless additional Congressional action is taken.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spacing w:after="0" w:line="287"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6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to Medicare payments to providers of 2% per fiscal year through 2027.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In response to the Blueprint,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pre-authorization (PA) and step therapy (ST) for six protected classes of drugs, with certain exceptions, permit plans to implement PA and ST in Medicare Part B drugs, changes the definition of “negotiated prices” in the regulations and adds a definition of “price concession” to the regulation. It is unclear whether these proposed changes will be accepted, and if so, what effect such changes will have on our business and our ability to receive adequate reimbursement for our future products.</w:t>
      </w:r>
    </w:p>
    <w:p>
      <w:pPr>
        <w:spacing w:after="0" w:line="7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3"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AKB-9778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Baush + Lomb, Santen, Novartis, ONO, Takeda, Allergan and others compete in the market for products for the treatment of glaucoma.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7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and these adverse events may occur in our future planned development of this candidate.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900" w:right="72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highly dependent on members of our senior management, including Stephen Hoffman, our Chief Executive Officer, Michael Rogers, our Chief Financial Officer, Joseph Gardner, our President and Founder and former Chief Executive Officer, and Kevin G. Peters, our Chief Scientific Officer. The loss of the services of any of these persons could impede the achievement of our research, development and commercialization objectives.</w:t>
      </w:r>
    </w:p>
    <w:p>
      <w:pPr>
        <w:spacing w:after="0" w:line="5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the results of the public referendum held in United Kingdom and its membership in the European Union.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ongoing developments following from the United Kingdom’s public referendum vote to exit from the European Union could cause disruptions to and create uncertainty surrounding our business, including affecting our relationships with existing and potential suppliers, manufacturers and other third parties. Negotiations have commenced to determine the terms of the United Kingdom’s future relationship with the European Union, including the terms of trade between the United Kingdom and the European Union. The effects of Brexit will depend upon any agreements the United Kingdom makes to retain access to European Union markets either during a transitional period or more permanently. The measures could potentially have corporate structural consequences, adversely change tax benefits or liabilities in these or other jurisdictions and could disrupt some of the markets and jurisdictions in which we operate. In addition, Brexit could lead to legal uncertainty and potentially divergent national laws and regulations as the United Kingdom determines which European Union laws to replace or replicate. In addition, the announcement of Brexit has caused significant volatility in global stock markets and currency exchange rate fluctuations, including the strengthening of the USD against some foreign currencies, and the Brexit negotiations may continue to cause significant volatility. The progress and outcomes of Brexit negotiations also may create global economic uncertainty. Any of these effects of Brexit, among others, could materially adversely affect the business, business opportunities, and financial condition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3" w:lineRule="exact"/>
        <w:rPr>
          <w:sz w:val="20"/>
          <w:szCs w:val="20"/>
          <w:color w:val="auto"/>
        </w:rPr>
      </w:pPr>
    </w:p>
    <w:p>
      <w:pPr>
        <w:ind w:left="900" w:right="20" w:hanging="379"/>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6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$0.88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8" w:lineRule="exact"/>
        <w:rPr>
          <w:sz w:val="20"/>
          <w:szCs w:val="20"/>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900" w:right="54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can be no assurances that we will be able to maintain our Nasdaq Capital Market listing in the future. 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10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 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ind w:right="3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March 31, 2019, our executive officers, directors and principal stockholders, together with their respective affiliates, owned approximately 44.3%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intend to use our cash and cash equivalents for continuing clinical development of AKB-9778 in patients with primary open angle glaucoma and ocular hypertension, including the preparation for and initiation of the planned Phase 1b clinical trial, early research on antibody therapies that inhibit VE-PTP,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ind w:right="320"/>
        <w:spacing w:after="0" w:line="277" w:lineRule="auto"/>
        <w:rPr>
          <w:sz w:val="20"/>
          <w:szCs w:val="20"/>
          <w:color w:val="auto"/>
        </w:rPr>
      </w:pPr>
      <w:r>
        <w:rPr>
          <w:rFonts w:ascii="Arial" w:cs="Arial" w:eastAsia="Arial" w:hAnsi="Arial"/>
          <w:sz w:val="18"/>
          <w:szCs w:val="18"/>
          <w:b w:val="1"/>
          <w:bCs w:val="1"/>
          <w:i w:val="1"/>
          <w:iCs w:val="1"/>
          <w:color w:val="auto"/>
        </w:rPr>
        <w:t>As a result of recently becoming a public company, we are incurring increased costs and our management devotes substantial time to public company compliance programs.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6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7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47"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50" w:lineRule="exact"/>
        <w:rPr>
          <w:sz w:val="20"/>
          <w:szCs w:val="20"/>
          <w:color w:val="auto"/>
        </w:rPr>
      </w:pPr>
    </w:p>
    <w:p>
      <w:pPr>
        <w:ind w:left="900" w:right="180" w:hanging="37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left="90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900" w:right="30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 and by a supermajority (66 2/3%) vote of the holders of our voting stock;</w:t>
      </w:r>
    </w:p>
    <w:p>
      <w:pPr>
        <w:spacing w:after="0" w:line="117"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900" w:right="420" w:hanging="379"/>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900" w:right="460" w:hanging="379"/>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b w:val="1"/>
          <w:bCs w:val="1"/>
          <w:i w:val="1"/>
          <w:iCs w:val="1"/>
          <w:color w:val="auto"/>
        </w:rPr>
        <w:t>On December 22, 2017, The Tax Cuts and Jobs Act (the “2017 Tax Act”) was enacted and could have a material impact on our current and future income tax provision and disclosures.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effective tax rates could be affected by numerous factors, such as intercompany transactions, entry into new businesses and geographies, changes to our existing businesses and operations, acquisitions and investments and how they are financed, potential changes in our stock price, changes in our deferred tax assets and liabilities and their valuation, and changes in the relevant tax, accounting, and other laws, regulations, administrative practices, principles, and interpretations. Finally, U.S. State governments may enact tax laws in response to the 2017 Tax Act that could result in further changes to taxation and materially affect our financial position and results of operations.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2017 Tax Act significantly changes how the U.S. taxes corporations. The 2017 Tax Act, among other things, contains significant changes to corporate taxation, including reduction of the corporate tax rate from a top marginal rate of 35% to a flat rate of 21%,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The 2017 Tax Act requires complex computations to be performed that were not previously required in U.S. tax law, significant judgments to be made in interpretation of the provisions of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We have completed our determination of the accounting implications of the 2017 Tax Act during 2018 upon filing our Federal Income Tax Return, and there were no material adjustments to the Company’s provisional estimate with the 2018 provision for income taxes.</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3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common stock was recently listed on The Nasdaq Capital Market on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94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4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Adopted Pursuant to Section 302 of the Sarbanes-Oxley Act of 2002.</w:t>
              </w:r>
            </w:hyperlink>
          </w:p>
        </w:tc>
        <w:tc>
          <w:tcPr>
            <w:tcW w:w="5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Act of 2002.</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4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7320" w:type="dxa"/>
            <w:vAlign w:val="bottom"/>
            <w:gridSpan w:val="2"/>
          </w:tcPr>
          <w:p>
            <w:pPr>
              <w:ind w:left="270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Date: May 9, 2019</w:t>
            </w:r>
          </w:p>
        </w:tc>
        <w:tc>
          <w:tcPr>
            <w:tcW w:w="2980" w:type="dxa"/>
            <w:vAlign w:val="bottom"/>
          </w:tcPr>
          <w:p>
            <w:pPr>
              <w:ind w:left="270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Stephen Hoffman, M.D., Ph.D.</w:t>
            </w:r>
          </w:p>
        </w:tc>
      </w:tr>
      <w:tr>
        <w:trPr>
          <w:trHeight w:val="218"/>
        </w:trPr>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Hoffman M.D., Ph.D.</w:t>
            </w:r>
          </w:p>
        </w:tc>
      </w:tr>
      <w:tr>
        <w:trPr>
          <w:trHeight w:val="216"/>
        </w:trPr>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 Chief Executive Officer</w:t>
            </w:r>
          </w:p>
        </w:tc>
      </w:tr>
      <w:tr>
        <w:trPr>
          <w:trHeight w:val="234"/>
        </w:trPr>
        <w:tc>
          <w:tcPr>
            <w:tcW w:w="4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b w:val="1"/>
                <w:bCs w:val="1"/>
                <w:color w:val="auto"/>
                <w:w w:val="94"/>
              </w:rPr>
              <w:t>)</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Date: May 9, 2019</w:t>
            </w:r>
          </w:p>
        </w:tc>
        <w:tc>
          <w:tcPr>
            <w:tcW w:w="2980" w:type="dxa"/>
            <w:vAlign w:val="bottom"/>
          </w:tcPr>
          <w:p>
            <w:pPr>
              <w:ind w:left="270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Rogers</w:t>
            </w:r>
          </w:p>
        </w:tc>
      </w:tr>
      <w:tr>
        <w:trPr>
          <w:trHeight w:val="218"/>
        </w:trPr>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Rogers</w:t>
            </w:r>
          </w:p>
        </w:tc>
      </w:tr>
      <w:tr>
        <w:trPr>
          <w:trHeight w:val="234"/>
        </w:trPr>
        <w:tc>
          <w:tcPr>
            <w:tcW w:w="4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724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Hoffman,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06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Rogers,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ending March 31, 2019 as filed with the Securities and Exchange Commission on the date hereof (the “Report”), I, Stephen Hoffman, Chief Executive Officer of the Company, certify, pursuant to 18 U.S.C. § 1350, as adopted pursuant to § 906 of the Sarbanes-Oxley Act of 2002, that to my knowledge:</w:t>
      </w:r>
    </w:p>
    <w:p>
      <w:pPr>
        <w:spacing w:after="0" w:line="57"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06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ending March 31, 2019 as filed with the Securities and Exchange Commission on the date hereof (the “Report”), I, Michael Rogers, Chief Financial Officer of the Company, certify, pursuant to 18 U.S.C. § 1350, as adopted pursuant to § 906 of the Sarbanes-Oxley Act of 2002, that to my knowledge:</w:t>
      </w:r>
    </w:p>
    <w:p>
      <w:pPr>
        <w:spacing w:after="0" w:line="5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decimal"/>
      <w:start w:val="718"/>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2019-12-28T12:34:53Z</dcterms:created>
  <dcterms:modified xsi:type="dcterms:W3CDTF">2019-12-28T12:34:53Z</dcterms:modified>
</cp:coreProperties>
</file>