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80" w:right="1640" w:hanging="3972"/>
        <w:spacing w:after="0" w:line="392" w:lineRule="auto"/>
        <w:tabs>
          <w:tab w:leader="none" w:pos="5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spacing w:after="0" w:line="279" w:lineRule="exact"/>
        <w:rPr>
          <w:sz w:val="24"/>
          <w:szCs w:val="24"/>
          <w:color w:val="auto"/>
        </w:rPr>
      </w:pPr>
    </w:p>
    <w:p>
      <w:pPr>
        <w:ind w:left="3140" w:right="16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000-53057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Aerpio Pharmaceuticals, Inc.</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820" w:type="dxa"/>
        <w:tblCellMar>
          <w:top w:w="0" w:type="dxa"/>
          <w:left w:w="0" w:type="dxa"/>
          <w:bottom w:w="0" w:type="dxa"/>
          <w:right w:w="0" w:type="dxa"/>
        </w:tblCellMar>
      </w:tblPr>
      <w:tr>
        <w:trPr>
          <w:trHeight w:val="218"/>
        </w:trPr>
        <w:tc>
          <w:tcPr>
            <w:tcW w:w="410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center"/>
              <w:ind w:left="1966"/>
              <w:spacing w:after="0"/>
              <w:rPr>
                <w:sz w:val="20"/>
                <w:szCs w:val="20"/>
                <w:color w:val="auto"/>
              </w:rPr>
            </w:pPr>
            <w:r>
              <w:rPr>
                <w:rFonts w:ascii="Times New Roman" w:cs="Times New Roman" w:eastAsia="Times New Roman" w:hAnsi="Times New Roman"/>
                <w:sz w:val="18"/>
                <w:szCs w:val="18"/>
                <w:b w:val="1"/>
                <w:bCs w:val="1"/>
                <w:color w:val="auto"/>
                <w:w w:val="98"/>
              </w:rPr>
              <w:t>EIN 61-1547850</w:t>
            </w:r>
          </w:p>
        </w:tc>
      </w:tr>
      <w:tr>
        <w:trPr>
          <w:trHeight w:val="135"/>
        </w:trPr>
        <w:tc>
          <w:tcPr>
            <w:tcW w:w="4100" w:type="dxa"/>
            <w:vAlign w:val="bottom"/>
          </w:tcPr>
          <w:p>
            <w:pPr>
              <w:jc w:val="center"/>
              <w:ind w:right="192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26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00" w:type="dxa"/>
            <w:vAlign w:val="bottom"/>
          </w:tcPr>
          <w:p>
            <w:pPr>
              <w:jc w:val="center"/>
              <w:ind w:right="194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26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99"/>
        </w:trPr>
        <w:tc>
          <w:tcPr>
            <w:tcW w:w="410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9"/>
              </w:rPr>
              <w:t>9987 Carver Road</w:t>
            </w:r>
          </w:p>
        </w:tc>
        <w:tc>
          <w:tcPr>
            <w:tcW w:w="3260" w:type="dxa"/>
            <w:vAlign w:val="bottom"/>
          </w:tcPr>
          <w:p>
            <w:pPr>
              <w:spacing w:after="0"/>
              <w:rPr>
                <w:sz w:val="24"/>
                <w:szCs w:val="24"/>
                <w:color w:val="auto"/>
              </w:rPr>
            </w:pPr>
          </w:p>
        </w:tc>
      </w:tr>
      <w:tr>
        <w:trPr>
          <w:trHeight w:val="218"/>
        </w:trPr>
        <w:tc>
          <w:tcPr>
            <w:tcW w:w="4100" w:type="dxa"/>
            <w:vAlign w:val="bottom"/>
          </w:tcPr>
          <w:p>
            <w:pPr>
              <w:jc w:val="center"/>
              <w:ind w:right="1923"/>
              <w:spacing w:after="0"/>
              <w:rPr>
                <w:sz w:val="20"/>
                <w:szCs w:val="20"/>
                <w:color w:val="auto"/>
              </w:rPr>
            </w:pPr>
            <w:r>
              <w:rPr>
                <w:rFonts w:ascii="Times New Roman" w:cs="Times New Roman" w:eastAsia="Times New Roman" w:hAnsi="Times New Roman"/>
                <w:sz w:val="18"/>
                <w:szCs w:val="18"/>
                <w:b w:val="1"/>
                <w:bCs w:val="1"/>
                <w:color w:val="auto"/>
                <w:w w:val="99"/>
              </w:rPr>
              <w:t>Cincinnati, OH</w:t>
            </w:r>
          </w:p>
        </w:tc>
        <w:tc>
          <w:tcPr>
            <w:tcW w:w="3260" w:type="dxa"/>
            <w:vAlign w:val="bottom"/>
          </w:tcPr>
          <w:p>
            <w:pPr>
              <w:jc w:val="center"/>
              <w:ind w:left="1966"/>
              <w:spacing w:after="0"/>
              <w:rPr>
                <w:sz w:val="20"/>
                <w:szCs w:val="20"/>
                <w:color w:val="auto"/>
              </w:rPr>
            </w:pPr>
            <w:r>
              <w:rPr>
                <w:rFonts w:ascii="Times New Roman" w:cs="Times New Roman" w:eastAsia="Times New Roman" w:hAnsi="Times New Roman"/>
                <w:sz w:val="18"/>
                <w:szCs w:val="18"/>
                <w:b w:val="1"/>
                <w:bCs w:val="1"/>
                <w:color w:val="auto"/>
              </w:rPr>
              <w:t>45242</w:t>
            </w:r>
          </w:p>
        </w:tc>
      </w:tr>
      <w:tr>
        <w:trPr>
          <w:trHeight w:val="166"/>
        </w:trPr>
        <w:tc>
          <w:tcPr>
            <w:tcW w:w="4100" w:type="dxa"/>
            <w:vAlign w:val="bottom"/>
          </w:tcPr>
          <w:p>
            <w:pPr>
              <w:jc w:val="center"/>
              <w:ind w:right="194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6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8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No</w:t>
      </w:r>
      <w:r>
        <w:rPr>
          <w:rFonts w:ascii="MS PGothic" w:cs="MS PGothic" w:eastAsia="MS PGothic" w:hAnsi="MS PGothic"/>
          <w:sz w:val="17"/>
          <w:szCs w:val="17"/>
          <w:color w:val="auto"/>
        </w:rPr>
        <w:t>☐</w:t>
      </w:r>
    </w:p>
    <w:p>
      <w:pPr>
        <w:spacing w:after="0" w:line="121" w:lineRule="exact"/>
        <w:rPr>
          <w:sz w:val="24"/>
          <w:szCs w:val="24"/>
          <w:color w:val="auto"/>
        </w:rPr>
      </w:pPr>
    </w:p>
    <w:p>
      <w:pPr>
        <w:ind w:right="260" w:firstLine="51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34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416" w:right="339" w:bottom="1440" w:gutter="0" w:footer="0" w:header="0"/>
        </w:sectPr>
      </w:pP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460" w:space="520"/>
            <w:col w:w="6080" w:space="720"/>
            <w:col w:w="1680" w:space="720"/>
            <w:col w:w="140"/>
          </w:cols>
          <w:pgMar w:left="240" w:top="416"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5">
            <w:col w:w="1380" w:space="600"/>
            <w:col w:w="140" w:space="80"/>
            <w:col w:w="5860" w:space="720"/>
            <w:col w:w="1680" w:space="720"/>
            <w:col w:w="140"/>
          </w:cols>
          <w:pgMar w:left="240" w:top="41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Emerging growth</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2" w:lineRule="exact"/>
        <w:rPr>
          <w:sz w:val="24"/>
          <w:szCs w:val="24"/>
          <w:color w:val="auto"/>
        </w:rPr>
      </w:pPr>
    </w:p>
    <w:p>
      <w:pPr>
        <w:sectPr>
          <w:pgSz w:w="11900" w:h="16838" w:orient="portrait"/>
          <w:cols w:equalWidth="0" w:num="2">
            <w:col w:w="1140" w:space="360"/>
            <w:col w:w="9820"/>
          </w:cols>
          <w:pgMar w:left="240" w:top="41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14" w:lineRule="exact"/>
        <w:rPr>
          <w:sz w:val="24"/>
          <w:szCs w:val="24"/>
          <w:color w:val="auto"/>
        </w:rPr>
      </w:pPr>
    </w:p>
    <w:p>
      <w:pPr>
        <w:ind w:left="520" w:right="1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20"/>
          </w:cols>
          <w:pgMar w:left="240" w:top="416" w:right="339" w:bottom="1440" w:gutter="0" w:footer="0" w:header="0"/>
          <w:type w:val="continuous"/>
        </w:sectPr>
      </w:pPr>
    </w:p>
    <w:p>
      <w:pPr>
        <w:spacing w:after="0" w:line="63" w:lineRule="exact"/>
        <w:rPr>
          <w:sz w:val="24"/>
          <w:szCs w:val="24"/>
          <w:color w:val="auto"/>
        </w:rPr>
      </w:pPr>
    </w:p>
    <w:p>
      <w:pPr>
        <w:ind w:left="520"/>
        <w:spacing w:after="0" w:line="207" w:lineRule="exact"/>
        <w:tabs>
          <w:tab w:leader="none" w:pos="80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6" w:lineRule="exact"/>
        <w:rPr>
          <w:sz w:val="24"/>
          <w:szCs w:val="24"/>
          <w:color w:val="auto"/>
        </w:rPr>
      </w:pPr>
    </w:p>
    <w:p>
      <w:pPr>
        <w:sectPr>
          <w:pgSz w:w="11900" w:h="16838" w:orient="portrait"/>
          <w:cols w:equalWidth="0" w:num="3">
            <w:col w:w="8520" w:space="160"/>
            <w:col w:w="200" w:space="80"/>
            <w:col w:w="2360"/>
          </w:cols>
          <w:pgMar w:left="240" w:top="416"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As of August 10, 2017, the registrant had 27,070,038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796925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16"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80" w:lineRule="exact"/>
        <w:rPr>
          <w:sz w:val="20"/>
          <w:szCs w:val="20"/>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and future preclinical and clinical studies;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into, and successfully complete, clinical studies and obtain regulatory approval for them;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marketing and manufacturing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900" w:right="80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private placement offering, and estimates of our expenses, future revenues,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8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60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FINANCIAL INFORMATION</w:t>
              </w:r>
            </w:hyperlink>
          </w:p>
        </w:tc>
        <w:tc>
          <w:tcPr>
            <w:tcW w:w="4060" w:type="dxa"/>
            <w:vAlign w:val="bottom"/>
            <w:gridSpan w:val="9"/>
          </w:tcPr>
          <w:p>
            <w:pPr>
              <w:spacing w:after="0"/>
              <w:rPr>
                <w:sz w:val="24"/>
                <w:szCs w:val="24"/>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and Comprehensive Loss</w:t>
              </w:r>
            </w:hyperlink>
          </w:p>
        </w:tc>
        <w:tc>
          <w:tcPr>
            <w:tcW w:w="92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(Deficit)</w:t>
              </w:r>
            </w:hyperlink>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w:t>
              </w:r>
            </w:hyperlink>
          </w:p>
        </w:tc>
        <w:tc>
          <w:tcPr>
            <w:tcW w:w="1460" w:type="dxa"/>
            <w:vAlign w:val="bottom"/>
            <w:gridSpan w:val="2"/>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Condensed Consolidated Financial Statements</w:t>
              </w:r>
            </w:hyperlink>
          </w:p>
        </w:tc>
        <w:tc>
          <w:tcPr>
            <w:tcW w:w="1660" w:type="dxa"/>
            <w:vAlign w:val="bottom"/>
            <w:gridSpan w:val="3"/>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Management’s Discussion and Analysis of Financial Condition and Results of Operations</w:t>
              </w:r>
            </w:hyperlink>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gridSpan w:val="4"/>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4660" w:type="dxa"/>
            <w:vAlign w:val="bottom"/>
            <w:gridSpan w:val="12"/>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60" w:type="dxa"/>
            <w:vAlign w:val="bottom"/>
            <w:gridSpan w:val="18"/>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OTHER INFORMATION</w:t>
              </w:r>
            </w:hyperlink>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4440" w:type="dxa"/>
            <w:vAlign w:val="bottom"/>
            <w:gridSpan w:val="11"/>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8"/>
                <w:szCs w:val="18"/>
                <w:color w:val="auto"/>
              </w:rPr>
            </w:pPr>
          </w:p>
        </w:tc>
        <w:tc>
          <w:tcPr>
            <w:tcW w:w="5120" w:type="dxa"/>
            <w:vAlign w:val="bottom"/>
            <w:gridSpan w:val="14"/>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Unregistered Sales of Equity Securities and Use of Proceeds</w:t>
              </w:r>
            </w:hyperlink>
          </w:p>
        </w:tc>
        <w:tc>
          <w:tcPr>
            <w:tcW w:w="2100" w:type="dxa"/>
            <w:vAlign w:val="bottom"/>
            <w:gridSpan w:val="5"/>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Defaults Upon Senior Securities</w:t>
              </w:r>
            </w:hyperlink>
          </w:p>
        </w:tc>
        <w:tc>
          <w:tcPr>
            <w:tcW w:w="4120" w:type="dxa"/>
            <w:vAlign w:val="bottom"/>
            <w:gridSpan w:val="10"/>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Mine Safety Disclosures</w:t>
              </w:r>
            </w:hyperlink>
          </w:p>
        </w:tc>
        <w:tc>
          <w:tcPr>
            <w:tcW w:w="4680" w:type="dxa"/>
            <w:vAlign w:val="bottom"/>
            <w:gridSpan w:val="13"/>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8"/>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Other Information</w:t>
              </w:r>
            </w:hyperlink>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Exhibits</w:t>
              </w:r>
            </w:hyperlink>
          </w:p>
        </w:tc>
        <w:tc>
          <w:tcPr>
            <w:tcW w:w="5140" w:type="dxa"/>
            <w:vAlign w:val="bottom"/>
            <w:gridSpan w:val="15"/>
          </w:tcPr>
          <w:p>
            <w:pPr>
              <w:spacing w:after="0"/>
              <w:rPr>
                <w:sz w:val="18"/>
                <w:szCs w:val="18"/>
                <w:color w:val="auto"/>
              </w:rPr>
            </w:pPr>
          </w:p>
        </w:tc>
      </w:tr>
      <w:tr>
        <w:trPr>
          <w:trHeight w:val="210"/>
        </w:trPr>
        <w:tc>
          <w:tcPr>
            <w:tcW w:w="960" w:type="dxa"/>
            <w:vAlign w:val="bottom"/>
            <w:gridSpan w:val="2"/>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Exhibit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16510</wp:posOffset>
            </wp:positionV>
            <wp:extent cx="308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2">
            <w:col w:w="10320" w:space="720"/>
            <w:col w:w="400"/>
          </w:cols>
          <w:pgMar w:left="240" w:top="117"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73"/>
              <w:spacing w:after="0" w:line="155"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28,847,937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research and development contracts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431,151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29,644,416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29,794,402</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2,396,878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1,856,817</w:t>
            </w:r>
          </w:p>
        </w:tc>
        <w:tc>
          <w:tcPr>
            <w:tcW w:w="28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12,386,647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1,856,817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14,857,617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(all classes)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73,757,890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per share; 300,000,000 and 17,440,436 shares authorized and</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27,070,038 and 1,240,925 shares issued and outstanding at June 30, 2017 and December 31, 2016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125,612,938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(97,678,060)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(86,218,753)</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27,937,585</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(86,218,629)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equity (deficit)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29,794,402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4"/>
                <w:szCs w:val="14"/>
                <w:color w:val="auto"/>
              </w:rPr>
            </w:pPr>
          </w:p>
        </w:tc>
        <w:tc>
          <w:tcPr>
            <w:tcW w:w="23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60" w:type="dxa"/>
            <w:vAlign w:val="bottom"/>
            <w:gridSpan w:val="4"/>
            <w:shd w:val="clear" w:color="auto" w:fill="CFF0FC"/>
          </w:tcPr>
          <w:p>
            <w:pPr>
              <w:jc w:val="right"/>
              <w:ind w:right="731"/>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3,169,115</w:t>
            </w:r>
          </w:p>
        </w:tc>
        <w:tc>
          <w:tcPr>
            <w:tcW w:w="16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2,903,564</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5,424,699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2,414,747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1,473,869</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4,918,748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10,343,447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(5,583,862)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(4,377,433)</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(10,343,447)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(8,582,876)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(88,783)</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(219,459)</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(5,520,307</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(4,385,262</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(10,516,010</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(8,579,961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net loss attributable to common stockholders: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(5,520,307)</w:t>
            </w: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(4,385,262)</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(10,516,010)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(8,579,961)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Extinguishment of preferred stock</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of preferred stock to redemption value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(1,028,121)</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(943,297)</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(2,043,492)</w:t>
            </w:r>
          </w:p>
        </w:tc>
        <w:tc>
          <w:tcPr>
            <w:tcW w:w="0" w:type="dxa"/>
            <w:vAlign w:val="bottom"/>
          </w:tcPr>
          <w:p>
            <w:pPr>
              <w:spacing w:after="0"/>
              <w:rPr>
                <w:sz w:val="1"/>
                <w:szCs w:val="1"/>
                <w:color w:val="auto"/>
              </w:rPr>
            </w:pP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(5,520,307</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(5,189,159</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(11,459,307</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(10,399,229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used in computing</w:t>
            </w: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26,895,164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823,097</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16,313,324</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780,152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72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Redeemable Convertible Preferred</w:t>
            </w: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720" w:type="dxa"/>
            <w:vAlign w:val="bottom"/>
            <w:gridSpan w:val="6"/>
            <w:vMerge w:val="continue"/>
          </w:tcPr>
          <w:p>
            <w:pPr>
              <w:spacing w:after="0"/>
              <w:rPr>
                <w:sz w:val="11"/>
                <w:szCs w:val="11"/>
                <w:color w:val="auto"/>
              </w:rPr>
            </w:pPr>
          </w:p>
        </w:tc>
        <w:tc>
          <w:tcPr>
            <w:tcW w:w="2240" w:type="dxa"/>
            <w:vAlign w:val="bottom"/>
            <w:gridSpan w:val="5"/>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Stock (all classes)</w:t>
            </w:r>
          </w:p>
        </w:tc>
        <w:tc>
          <w:tcPr>
            <w:tcW w:w="300" w:type="dxa"/>
            <w:vAlign w:val="bottom"/>
          </w:tcPr>
          <w:p>
            <w:pPr>
              <w:spacing w:after="0"/>
              <w:rPr>
                <w:sz w:val="15"/>
                <w:szCs w:val="15"/>
                <w:color w:val="auto"/>
              </w:rPr>
            </w:pPr>
          </w:p>
        </w:tc>
        <w:tc>
          <w:tcPr>
            <w:tcW w:w="2240" w:type="dxa"/>
            <w:vAlign w:val="bottom"/>
            <w:tcBorders>
              <w:bottom w:val="single" w:sz="8" w:color="auto"/>
            </w:tcBorders>
            <w:gridSpan w:val="5"/>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5"/>
                <w:szCs w:val="15"/>
                <w:color w:val="auto"/>
              </w:rPr>
            </w:pPr>
          </w:p>
        </w:tc>
        <w:tc>
          <w:tcPr>
            <w:tcW w:w="90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2016</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14,015,016</w:t>
            </w: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73,757,890</w:t>
            </w:r>
          </w:p>
        </w:tc>
        <w:tc>
          <w:tcPr>
            <w:tcW w:w="30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1,240,925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w:t>
            </w: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(86,218,753)</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(86,218,629)</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 of redeemable</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943,297</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(943,297)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(943,297)</w:t>
            </w:r>
          </w:p>
        </w:tc>
        <w:tc>
          <w:tcPr>
            <w:tcW w:w="0" w:type="dxa"/>
            <w:vAlign w:val="bottom"/>
          </w:tcPr>
          <w:p>
            <w:pPr>
              <w:spacing w:after="0"/>
              <w:rPr>
                <w:sz w:val="1"/>
                <w:szCs w:val="1"/>
                <w:color w:val="auto"/>
              </w:rPr>
            </w:pPr>
          </w:p>
        </w:tc>
      </w:tr>
      <w:tr>
        <w:trPr>
          <w:trHeight w:val="171"/>
        </w:trPr>
        <w:tc>
          <w:tcPr>
            <w:tcW w:w="2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 redemption value</w:t>
            </w: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Conversion of preferred stock</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(14,015,016)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(74,701,187)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14,015,016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74,699,785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74,701,187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Conversion of convertible</w:t>
            </w: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2,744,059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13,447,660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13,447,934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notes and accrued interest</w:t>
            </w: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Share exchange in connection</w:t>
            </w:r>
          </w:p>
        </w:tc>
        <w:tc>
          <w:tcPr>
            <w:tcW w:w="13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with Merger</w:t>
            </w:r>
          </w:p>
        </w:tc>
        <w:tc>
          <w:tcPr>
            <w:tcW w:w="13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net</w:t>
            </w:r>
          </w:p>
        </w:tc>
        <w:tc>
          <w:tcPr>
            <w:tcW w:w="13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8,049,555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37,162,585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37,163,390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of issuance costs</w:t>
            </w: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3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25,729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36,098</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36,101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upon exercise of stock options</w:t>
            </w:r>
          </w:p>
        </w:tc>
        <w:tc>
          <w:tcPr>
            <w:tcW w:w="13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7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Share-based compensation</w:t>
            </w:r>
          </w:p>
        </w:tc>
        <w:tc>
          <w:tcPr>
            <w:tcW w:w="13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266,909</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266,909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3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(10,516,010)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(10,516,010)</w:t>
            </w:r>
          </w:p>
        </w:tc>
        <w:tc>
          <w:tcPr>
            <w:tcW w:w="0" w:type="dxa"/>
            <w:vAlign w:val="bottom"/>
          </w:tcPr>
          <w:p>
            <w:pPr>
              <w:spacing w:after="0"/>
              <w:rPr>
                <w:sz w:val="1"/>
                <w:szCs w:val="1"/>
                <w:color w:val="auto"/>
              </w:rPr>
            </w:pPr>
          </w:p>
        </w:tc>
      </w:tr>
      <w:tr>
        <w:trPr>
          <w:trHeight w:val="156"/>
        </w:trPr>
        <w:tc>
          <w:tcPr>
            <w:tcW w:w="2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June 30, 2017</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27,070,038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125,612,938</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(97,678,060</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27,937,585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(10,516,010)</w:t>
            </w: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(8,579,961)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expense related to convertible note conversion</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current other assets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(130,711)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(71,261)</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(10,252,055)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issuances of convertible notes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(138,312)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 paid in connection with the sale of common stock</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(3,084,385)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37,496,845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27,238,243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(3,541,455)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1,609,694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six months ended</w:t>
            </w:r>
          </w:p>
        </w:tc>
        <w:tc>
          <w:tcPr>
            <w:tcW w:w="118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28,847,937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1,602,756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1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74,701,187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notes and accrued interest into common stock</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13,447,934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preferred stock to redemption value</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preferred stock</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(224,224)</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Aerpio Pharmaceuticals, Inc. (the “Company”) was incorporated as Zeta Acquisition Corp. II (“Zeta”) in the State of Delaware on November 16, 2007. Prior to the Merger, (as defined below), Zeta was a “shell company” (as defined in Rule 12b-2 of the Securities Exchange Act of 1934, as amended).</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the shares of the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Promissory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the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acquired the business of Aerpio and will continue the existing business operations of Aerpio as a public reporting company under the name Aerpio Pharmaceuticals, Inc. Immediately after the Merger, on March 15, 2017, Aerpio converted into a Delaware limited liability company (the “Conversion”).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“Offering”) of 8,049,555 shares of the Company’s common stock, at a purchase price of $5.00 per share, for net proceeds of approximately $37.2 million and the issuance of warrants with a term of three years, to purchase 317,562 shares of the Company’s common stock at an exercise price of $5.00 per share.</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“reverse merger” or “reverse acquisition” accounting treatment, the unaudited condensed consolidated interim financial statements for the period ended June 30, 2017 include the accounts of the Company and its wholly owned subsidiary, Aerpio Therapeutics, LLC. The comparative historical financial statements for periods ended prior to the date of the Merger are the historical financial statements of Aerpio. Consequently, the assets and liabilities and the historical operations that are reflected in these condensed consolidated financial statements of the company are those of Aerpio, which were recorded at their historical cost basis. Unless otherwise indicated, all share and per share figures reflect the exchange of each 2.3336572 shares of Aerpio capital stock, convertible notes and share based awards, then outstanding, for 1 share of the Company’s common stock at the effective time of the Merger.</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is a biopharmaceutical company focused on advancing first-in-class treatments for ocular disease. The Company’s lead product candidate, AKB-9778, a small molecule activator of the tie-2 pathway, is being developed for the treatment of diabetic retinopathy (“DR”). Tie-2 signaling is essential for regulating blood vessel development and the stability of mature vessels. The Company has completed a Phase 2a clinical trial in diabetic macular edema (“DME”), a swelling of the retina that is a common cause of vision loss in patients with DR and during the second quarter of 2017, initiated a twelve month, double blind Phase 2b clinical trial in patients with DR who have not developed more serious complications such as DME or proliferative diabetic retinopathy.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8" w:name="page9"/>
    <w:bookmarkEnd w:id="8"/>
    <w:p>
      <w:pPr>
        <w:ind w:right="300"/>
        <w:spacing w:after="0" w:line="258" w:lineRule="auto"/>
        <w:rPr>
          <w:sz w:val="20"/>
          <w:szCs w:val="20"/>
          <w:color w:val="auto"/>
        </w:rPr>
      </w:pPr>
      <w:r>
        <w:rPr>
          <w:rFonts w:ascii="Times New Roman" w:cs="Times New Roman" w:eastAsia="Times New Roman" w:hAnsi="Times New Roman"/>
          <w:sz w:val="18"/>
          <w:szCs w:val="18"/>
          <w:color w:val="auto"/>
        </w:rPr>
        <w:t>In addition, the Company has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The Company completed a Phase 1a clinical trial in healthy volunteers for AKB-4924 and APR-1536 is currently in preclinical development. Further development on the pipeline programs is subject to receiving additional funding, which the Company may seek through collaborations with potential strategic and commercial partners.</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 has not generated any revenues to date, nor is there any assurance of any future revenues. The Company’s product candidates are subject to long development cycles, and there is no assurance the Company will be able to successfully develop, obtain regulatory approval for, or market its product candidates.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288" w:lineRule="exact"/>
        <w:rPr>
          <w:sz w:val="20"/>
          <w:szCs w:val="20"/>
          <w:color w:val="auto"/>
        </w:rPr>
      </w:pPr>
    </w:p>
    <w:p>
      <w:pPr>
        <w:ind w:right="784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60"/>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Securities and Exchange Commission (SEC) regulations and include all of the information and disclosures required by generally accepted accounting principles in the United States ("U.S. GAAP" or "GAAP") for interim financial reporting, and, in the opinion of management include all adjustments necessary for a fair presentation of the results of operations, financial position and cash flows for each period presented. All adjustments are of a normal and recurring nature. These unaudited condensed consolidated financial statements should be read in conjunction with the consolidated financial statements of Aerpio Therapeutics Inc. and related footnotes for the year ended December 31, 2016, included in the Company’s Registration Statement on Form S-1 filed with the SEC. The results of operations for the interim periods are not necessarily indicative of results of operations for a full year. The Company’s condensed consolidated financial statements are stated in U.S. Dollars.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 of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fair value of the Company’s common stock and other equity instruments, accrued expenses, and income taxes.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color w:val="auto"/>
        </w:rPr>
        <w:t>The Company utilizes significant estimates and assumptions in determining the fair value of its common stock and other equity instruments. The Company granted stock options at exercise prices not less than the fair value of its common stock, as determined by the Board of Directors contemporaneously at the date such grants were made. The Board of Directors has determined the estimated fair value of the Company’s common stock based on a number of objective and subjective factors, including external market conditions affecting the biotechnology industry sector and the prices at which the Company sold shares of common and preferred stock, the superior rights and preferences of securities senior to the Company’s common stock at the time, and, for periods prior to the Offering, the likelihood of achieving a liquidity event, such as a public offering or sale of the Company.</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Historically, the Company utilized various valuation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 Company Equity Securities Issued as Compensation</w:t>
      </w:r>
      <w:r>
        <w:rPr>
          <w:rFonts w:ascii="Times New Roman" w:cs="Times New Roman" w:eastAsia="Times New Roman" w:hAnsi="Times New Roman"/>
          <w:sz w:val="18"/>
          <w:szCs w:val="18"/>
          <w:color w:val="auto"/>
        </w:rPr>
        <w:t>,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redeemable convertible preferred stock, the superior rights and preferences of securities senior to the Company’s common stock at the time, and, at December 31, 2016, a probability analysis of various liquidity events under differing scenarios, including both a potential public trading scenario and potential sale scenario. Significant changes to the key assumptions used in the valuations could result in different fair values of common stock and other equity instruments at each valuation date.</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all cash on hand, deposits, and funds invested in short-term investments with remaining maturities of three months or less at the time of purchase. The Company may maintain balances with its banks in excess of federally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Time deposits with remaining maturities of greater than three months but less than one year at the time of purchase are classified as short-term investments in the accompanying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(iv) facilities and other expenses, which include direct and allocated expenses for rent and maintenance of facilities and laboratory and other supplies; and (v) costs associated with preclinical activities and regulatory operations.</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firms, researchers, universities, and others for the provision of goods and services.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in connection with the application for and issuances of patents are expensed as incurred.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Financial Accounting Standards Board (“FASB”) Accounting Standards Codification (ASC) Topic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which provides for deferred taxes using an asset and liability approach. The Company recognizes deferred tax assets and liabilities for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tax consequences of events that have been included in the financial statements or tax returns. Deferred tax assets and liabilities are determined based on the difference between the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8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some or all of the benefit will more likely than not be realized. The determination as to whether the tax benefit will more likely than not be realized is based upon the technical merits of the tax position, as well as consideration of the available facts and circumstances. As of June 30, 2017, and December 31, 2016, the Company does not have any significant uncertain tax positions. If incurred, the Company would classify interest and penalties on uncertain tax positions as income tax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 For purposes of this calculation, convertible preferred stock, convertible notes payable, stock options to purchase common stock, warrants, and unvested restricted stock awards are considered to be common stock equivalents but have been excluded from the calculation of diluted net loss per share attributable to common stockholders as their effect is anti-dilutive for all periods presented. Therefore, basic and diluted net loss per share were the same for all periods presented.</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all periods presented, all share and per share amounts have been retrospectively adjusted to reflect the exchange of each 2.3336572 shares of Aerpio capital stock and share based awards then outstanding, for 1 share of the Company’s common stock at the effective time of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ASC 718 requires all stock-based payments to employees, including grants of employee stock options and restricted stock, to be recognized in the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subjective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Company uses the simplified method as prescribed by the Securities and Exchange Commission Staff Accounting Bulletin No. 107,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to calculate the expected term, as it does not have sufficient historical exercise data to provide a reasonable basis upon which to estimate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1" w:name="page12"/>
    <w:bookmarkEnd w:id="1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expense related to awards to employees is calculated on a straight-line basis by recognizing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short-term investments, accounts receivable, and accounts payable. The Company values cash equivalents using quoted market prices. The valuation technique used to measure the fair value of short-term investments was based on net asset values corroborated with observable market data. The fair value of accounts receivable and accounts payable approximate the carrying value because of their short-term nature.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hierarchy of inputs used in measuring fair value that maximizes the use of observable inputs and minimizes the use of unobservable inputs by requiring that the observable inputs be used when available.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76" w:lineRule="exact"/>
        <w:rPr>
          <w:sz w:val="20"/>
          <w:szCs w:val="20"/>
          <w:color w:val="auto"/>
        </w:rPr>
      </w:pPr>
    </w:p>
    <w:p>
      <w:pPr>
        <w:ind w:left="1040" w:right="28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that require inputs that reflect the Company’s own assumptions that are both significant to the fair value measurement and unobservable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six months ended June 30, 2017 or June 30, 2016. The assets of the Company measured on a recurring basis as of June 30, 2017 and December 31, 2016 basis are summarized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10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3"/>
                <w:szCs w:val="13"/>
                <w:color w:val="auto"/>
              </w:rPr>
            </w:pPr>
          </w:p>
        </w:tc>
        <w:tc>
          <w:tcPr>
            <w:tcW w:w="90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28,847,937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28,847,937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28,847,937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28,897,937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1,609,694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1,609,694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Cash and cash equivalents and short-term investments are the only financial instruments that potentially subject the Company to concentrations of credit risk. At June 30, 2017 and December 31, 2016, all the Company’s cash was deposited in accounts at two principal financial institutions. The Company maintains its cash and cash equivalents and short-term investments with a high-quality, accredited financial institution and, accordingly, such funds are subject to minimal credit risk. The Company has no significant off-balance sheet concentrations of credit risk, such as foreign currency exchange contracts, option contracts, or other hedging arrangements.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and Equipment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is applying the new guidance related to excess tax benefits on a prospective basis. The Company has also elected to account for forfeitures of share-based payments as they occur. The effect of adoption was not material to the condensed consolidated financial statements.</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ASU will require lessees to recognize almost all leases on the balance sheet as a right-of-use asset and a lease liability. For income statement purposes, the FASB retained a dual model, requiring leases to be classified as finance leases or operating leases. This update is effective for interim and annual periods beginning after December 15, 2018, with early adoption permitted. The Company is currently assessing the effect that adoption of the new standard will have on its condensed consolidated financial statements.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No. 2016-15—Classification of Certain Cash Receipts and Cash Payments (a consensus of the Emerging Issues Task Force). The amendments in ASU 2016-15 address eight specific cash flow issues and apply to all entities that are required to present a statement of cash flows under FASB Accounting Standards Codification (FASB ASC) 230, Statement of Cash Flows. The amendments in ASU 2016-15 are effective for public business entities for fiscal years beginning after December 15, 2017, and interim periods within those fiscal years. Early adoption is permitted, including adoption during an interim period. The Company has not yet adopted this update and is currently evaluating the impact of ASU No. 2016-15 on its condensed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 (a consensus of the FASB Emerging Issue Task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Force)</w:t>
      </w:r>
      <w:r>
        <w:rPr>
          <w:rFonts w:ascii="Times New Roman" w:cs="Times New Roman" w:eastAsia="Times New Roman" w:hAnsi="Times New Roman"/>
          <w:sz w:val="18"/>
          <w:szCs w:val="18"/>
          <w:color w:val="auto"/>
        </w:rPr>
        <w:t>, or ASU 2016-18. This new standard addresses the diversity that exists in the classification and presentation of changes in restricted cash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fiscal years beginning after December 15, 2017, including interim periods within the year of adoption, with early adoption permitted. We do not expect that the adoption of ASU 20116-18 will have a material impact on our condensed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Related-Party Arrangements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Aerpio was initially capitalized in December 2011 in a spinout transaction from Akebia Therapeutics, Inc. (Akebia) to enable more rapid development of its compounds. In connection with the spinout of Aerpio from Akebia, the companies entered into shared services agreements. Under the terms of the shared services agreements, Akebia and Aerpio obtained from and provided to each other certain services, as outlined below. These agreements were expired at December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activities included in the statements of operations and comprehensive loss: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40" w:type="dxa"/>
            <w:vAlign w:val="bottom"/>
            <w:tcBorders>
              <w:bottom w:val="single" w:sz="8" w:color="CFF0FC"/>
            </w:tcBorders>
          </w:tcPr>
          <w:p>
            <w:pPr>
              <w:spacing w:after="0"/>
              <w:rPr>
                <w:sz w:val="15"/>
                <w:szCs w:val="15"/>
                <w:color w:val="auto"/>
              </w:rPr>
            </w:pPr>
          </w:p>
        </w:tc>
        <w:tc>
          <w:tcPr>
            <w:tcW w:w="2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Financial Statement Caption</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2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Akebia related employee costs</w:t>
            </w:r>
          </w:p>
        </w:tc>
        <w:tc>
          <w:tcPr>
            <w:tcW w:w="14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4"/>
            <w:vMerge w:val="restart"/>
            <w:shd w:val="clear" w:color="auto" w:fill="CFF0FC"/>
          </w:tcPr>
          <w:p>
            <w:pPr>
              <w:ind w:left="78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vMerge w:val="restart"/>
            <w:shd w:val="clear" w:color="auto" w:fill="CFF0FC"/>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spacing w:after="0"/>
              <w:rPr>
                <w:sz w:val="17"/>
                <w:szCs w:val="17"/>
                <w:color w:val="auto"/>
              </w:rPr>
            </w:pPr>
          </w:p>
        </w:tc>
        <w:tc>
          <w:tcPr>
            <w:tcW w:w="740" w:type="dxa"/>
            <w:vAlign w:val="bottom"/>
            <w:gridSpan w:val="4"/>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vMerge w:val="continue"/>
            <w:shd w:val="clear" w:color="auto" w:fill="CFF0FC"/>
          </w:tcPr>
          <w:p>
            <w:pPr>
              <w:spacing w:after="0"/>
              <w:rPr>
                <w:sz w:val="20"/>
                <w:szCs w:val="20"/>
                <w:color w:val="auto"/>
              </w:rPr>
            </w:pPr>
          </w:p>
        </w:tc>
        <w:tc>
          <w:tcPr>
            <w:tcW w:w="1520" w:type="dxa"/>
            <w:vAlign w:val="bottom"/>
            <w:gridSpan w:val="4"/>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320" w:type="dxa"/>
            <w:vAlign w:val="bottom"/>
            <w:gridSpan w:val="2"/>
            <w:vMerge w:val="continue"/>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40" w:type="dxa"/>
            <w:vAlign w:val="bottom"/>
            <w:gridSpan w:val="4"/>
            <w:vMerge w:val="continue"/>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Facility-related reimbursement</w:t>
            </w: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Pr>
          <w:p>
            <w:pPr>
              <w:spacing w:after="0"/>
              <w:rPr>
                <w:sz w:val="20"/>
                <w:szCs w:val="20"/>
                <w:color w:val="auto"/>
              </w:rPr>
            </w:pPr>
          </w:p>
        </w:tc>
        <w:tc>
          <w:tcPr>
            <w:tcW w:w="15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4. Accounts Payable and Accrued Expenses</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 and accrued expenses are as follows:</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44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782,169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1,135,608</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Professional fees</w:t>
            </w: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106,686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57,459</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4"/>
          </w:tcPr>
          <w:p>
            <w:pPr>
              <w:ind w:left="17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500" w:type="dxa"/>
            <w:vAlign w:val="bottom"/>
          </w:tcPr>
          <w:p>
            <w:pPr>
              <w:spacing w:after="0"/>
              <w:rPr>
                <w:sz w:val="19"/>
                <w:szCs w:val="19"/>
                <w:color w:val="auto"/>
              </w:rPr>
            </w:pPr>
          </w:p>
        </w:tc>
        <w:tc>
          <w:tcPr>
            <w:tcW w:w="1340" w:type="dxa"/>
            <w:vAlign w:val="bottom"/>
            <w:gridSpan w:val="3"/>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1,856,817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2,470,970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 to Investors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March 2016, Aerpio entered into a senior secured convertible note financing (the “Convertible Notes” or the “Convertible Note Financing”) totaling approximately $9,000,000, with certain preferred investors of Aerpio. All preferred investors were invited to participate in the Convertible Notes Financing. At June 30, 2017 and December 31, 2016 the unamortized debt issuance costs related to Convertible Note financings was $0 and $75,561. In connection with the Convertible Note Financing, Aerpio’s Articles of Incorporation were amended such that any Aerpio preferred stockholder that did not participate in the Aerpio Convertible Note Financing would have their respective shares of Aerpio preferred stock automatically converted into Aerpio common stock using a 3-to-1 conversion ratio and such preferred stockholders would lose the right to representation on the Aerpio Board of Directors and other preferred rights.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4" w:name="page15"/>
    <w:bookmarkEnd w:id="14"/>
    <w:p>
      <w:pPr>
        <w:ind w:right="40"/>
        <w:spacing w:after="0" w:line="253" w:lineRule="auto"/>
        <w:rPr>
          <w:sz w:val="20"/>
          <w:szCs w:val="20"/>
          <w:color w:val="auto"/>
        </w:rPr>
      </w:pPr>
      <w:r>
        <w:rPr>
          <w:rFonts w:ascii="Times New Roman" w:cs="Times New Roman" w:eastAsia="Times New Roman" w:hAnsi="Times New Roman"/>
          <w:sz w:val="18"/>
          <w:szCs w:val="18"/>
          <w:color w:val="auto"/>
        </w:rPr>
        <w:t>The Convertible Note Financing had two separate closings of approximately $4,500,000 each on April 14, 2016 and July 15, 2016. Certain Aerpio preferred stockholders chose not to participate in the Aerpio Convertible Note Financing and their respective Aerpio preferred stock was converted into shares of Aerpio common stock in April 2016 in accordance with the terms of the Articles of Incorporation. Aerpio treated this as an extinguishment of its preferred stock. The Convertible Notes accrued interest at 8% per annum, compounded annually. The Company incurred $138,312 of costs in association with the issuance of the Convertible Notes that were amortized over the expected life of the Convertible Notes, from the date of execution through October 31, 2016. The Convertible Notes were also subject to mandatory prepayment upon the occurrence of certain events, such as a liquidation, dissolution, or the sale of Aerpio. In addition, and prior to maturity, the Convertible Notes were automatically convertible into shares of Aerpio capital stock upon the occurrence of a sale of Aerpio’s capital stock in a single transaction resulting in gross proceeds to Aerpio of $30,000,000 (hereinafter referred to as an “Investor Sale”). The type and class of Aerpio capital stock of to be issued to the holder of each Convertible Note upon conversion would have been identical to the type and class of Aerpio capital stock issued in the Investor Sale. The holder of each Convertible Note was entitled to a number of shares of Aerpio capital determined by dividing (i) the outstanding principal amount of the Convertible Note plus any unpaid accrued interest by (ii) an amount equal to the price per share of Aerpio capital stock paid by the purchasers of such shares in connection with the Investor Sale. The Convertible Notes were secured by a first priority perfected security interest in all of the Aerpio’s assets.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2016 and February 2017, Aerpio executed an additional senior secured Convertible Note financings (the “Additional Convertible Notes” or the “Additional Convertible Note Financings”) totaling approximately $3,500,000 and $300,000 respectively, with certain preferred investors of Aerpio. The terms of the Additional Convertible Notes are identical to the Convertible Notes and are treated as extensions of the original Convertible Note Financing. The Company incurred $125,935 of costs associated with these transactions, which were amortized to the maturity date of March 31, 2017. In connection with the Additional Convertible Note Financings, the Convertible Notes were amended and their respective maturity dates were extended from October 31, 2016 to March 31, 2017. The amendments are accounted for as a modification for accounting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(Note 1) the Convertible Notes and accrued interest were converted into the Company’s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June 30, 2017, and December 31, 2016, the Company had 300,000,000 and 17,440,436 shares, respectively, of authorized common stock with par value of $0.0001 per share. On March 15, 2017, in connection with the Merger, (Note 1) all the outstanding redeemable convertible preferred stock, was converted into 14,015,016 shares of the Company’s common stock and the Convertible Notes, both principal and accrued interest, were converted into 2,744,059 shares of the Company’s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has the following characteristics.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of common stock held at all meetings of stockholders and written actions in lieu of meetings.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Lock-up Agreements and Other Restrictions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connection with the Merger, each of the Company’s executive officers, directors, stockholders holding substantially all of the shares of common stock issued in exchange for shares held in Aerpio immediately prior to the Merger, certain other stockholders, and certain key employees, (the “Restricted Holders”), holding at the closing date of the Merger (the “Closing Date”) an aggregate of approximately 18.9 million shares of common stock, entered into lock-up agreements,(the “Lock-Up Agreements”), whereby they are restricted for a period of nine months after the Merger, or the Restricted Period, from certain sales or dispositions (including pledge) of all (or 80% in the case of the holders of 915,000 shares) of the Company’s common stock held by (or issuable to) them, (such restrictions together referred to as the “Lock-Up”). The foregoing restrictions will not apply to the resale of shares of common stock by any Restricted Holder in any registered secondary offering of equity securities by the Company (and, if such offering is underwritten, with the written consent of the lead or managing underwriter), or to certain other transfers customarily excepted.</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each Restricted Holder and any stockholders holding or beneficially owning 1% or more of our common stock after giving effect to the Merger, agreed, for a period of 12 months following the Closing Date, that it will not, directly or indirectly, effect or agree to effect any short sale (as defined in Rule 200 under Regulation SHO of the Exchange Act), whether or not against the box, establish any “put equivalent position” (as defined in Rule 16a-1(h) under the Exchange Act) with respect to the common stock, borrow or pre-borrow any shares of common stock, or grant any other right (including, without limitation, any put or call option) with respect to the common stock or with respect to any security that includes, relates to or derives any significant part of its value from the common stock or otherwise seek to hedge its position in the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protection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 Offering have anti-dilution protection with respect to the shares of the Company’s common stock sold in the Offering such that if within six</w:t>
      </w:r>
    </w:p>
    <w:p>
      <w:pPr>
        <w:spacing w:after="0" w:line="27" w:lineRule="exact"/>
        <w:rPr>
          <w:sz w:val="20"/>
          <w:szCs w:val="20"/>
          <w:color w:val="auto"/>
        </w:rPr>
      </w:pPr>
    </w:p>
    <w:p>
      <w:pPr>
        <w:ind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initial closing of the Offering the Company issues additional shares of common stock or common stock equivalents (subject to certain exceptions), for consideration per share less than the Offering Price, or the Lower Price, each such investor will be entitled to receive from the Company additional shares of common stock in an amount such that, when added to the number of shares of common stock initially purchased by such investor and still held of record and beneficially owned by such investor at the time of the dilutive issuance, or the Held Shares, will equal the number of shares of common stock that such investor’s Offering subscription amount for the Held Shares would have purchased at the Lower Price. Either (i) holders of a majority of the then-held Held Shares or (ii) a representative of the holders of the then-held Held Shares, which representative shall be appointed by three (3) investors who then hold the largest number of Held Shares, may waive the anti-dilution rights of all Offering investors with respect to a particular issuance by the Company. These anti-dilution rights were determined not to be a freestanding financial instrument and do not meet the definition of a derivative. Accordingly, the anti-dilution rights are embedded into the shares of the Company’s common stock and do not require separate accounting at June 30, 2017.</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p>
      <w:pPr>
        <w:spacing w:after="0" w:line="12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At June 30, 2017, the Company had warrants outstanding for the purchase of 317,562 shares of the Company’s common stock at an exercise price of $5.00 per share. The warrants have a three-year term and expire on March 15, 2020. The Warrants were issued in connection with the Offering.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June 30, 2017, the Company had 10,000,000 shares of preferred stock, par value $0.0001 per share, in authorized capital. No preferred stock was issued and outstanding at June 30, 2017. In connection with the Merger (Note 1), all the Aerpio redeemable convertible preferred stock issued and outstanding prior to the Merger was converted into shares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Aerpio’s redeemable convertible preferred stock consisted of the following:</w:t>
      </w:r>
    </w:p>
    <w:p>
      <w:pPr>
        <w:spacing w:after="0" w:line="117"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redeemable convertible preferred stock: 1,326,147 shares authorized and 1,239,338 shares issued and outstanding;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A1 redeemable convertible preferred stock: 8,368,247 shares authorized and 8,289,663 shares issued and outstanding;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6" w:name="page17"/>
    <w:bookmarkEnd w:id="16"/>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A2 redeemable convertible preferred stock: 4,660,573 shares authorized and 4,486,015 shares issued and outstanding.</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share and per share amounts are on an as converted basis to reflect the effect of the Merger. The rights, preferences, and privileges of the redeemable convertible preferred stock issued and outstanding prior to the Merger were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holders of redeemable convertible preferred stock were entitled to the number of votes equal to the number of whole shares of Aerpio common stock into which the shares of redeemable convertible preferred stock were convertible. Except as provided by law or otherwise, the holders of redeemable convertible preferred stock voted together with the holders of Aerpio common stock as a single class. Certain significant actions required approval by at least 50% of the holders of redeemable convertible preferred stock voting as a single class on an as converted basis. Such significant actions include significant asset transfers, acquisitions, liquidation, amendments to the certificate of incorporation, new indebtedness, repurchase of common stock, changes in the authorized numbers of directors constituting the Board of Directors, and the declaration of dividends.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holders of shares of redeemable convertible preferred stock were entitled to elect six members of Aerpio’s Board of Directors, which was subject to reduction to not less than four directors under certain circumstances. The holders of Aerpio common stock (including any holders of all shares of redeemable convertible preferred stock on an as converted basis) were entitled to elect two members of Aerpio’s Board of Directors, which was subject to reduction to one director under certain circumstances.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Dividends were payable, if permitted by law, in accordance with redeemable convertible preferred stock terms or when and if declared by Aerpio Board of Directors. Prior to the issuance of Series A2 Preferred Stock, dividends on Series A Preferred Stock and Series A1 Preferred Stock were cumulative and accrued daily at a rate of 6% per annum whether or not declared. As part of the Series A2 Preferred Stock issuance, the dividend provisions for Series A Preferred Stock and Series A1 Preferred Stock were retrospectively amended to be noncumulative with the cumulative provision to begin after the Series A2 Preferred Stock issuance date at a rate of 6% per annum. This amendment did not significantly affect the nature of the Series A Preferred Stock and Series A1 Preferred Stock or their fair value. Accordingly, the amendment was treated as a modification for accounting purposes.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Aerpio, or upon the occurrence of a Deemed Liquidation Event, as defined, at the election of more than 50% of the holders of Series A2 Preferred Stock and Series A1 Preferred Stock, those holders were entitled to be paid, in preference to the holders of Series A Preferred Stock and Aerpio common stock, out of the assets of Aerpio available for distribution at $4.90 per share for Series A2 Preferred Stock and $3.97 per share for Series A1 Preferred Stock, plus any accrued but unpaid dividends. After the holders of Series A1 Preferred Stock and Series A2 Preferred Stock are satisfied, the holders of Series A Preferred Stock were paid at $4.27 per share, plus any accrued but unpaid dividends before any payment was made to the holders of Aerpio’s common stock.</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the assets of Aerpio available for distribution to stockholders were insufficient to pay the full amount to which the holder was entitled, the holders of Series A2 Preferred Stock and Series A1 Preferred Stock would share ratably any assets available for distribution in proportion to their relative original investment amounts. Any remaining assets of Aerpio would be distributed ratably among the holders of Series A Preferred Stock based upon aggregate applicable dividends accrued on Series A Preferred Stock not previously paid.</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After the payment of all preferential amounts required to be paid to the holders of redeemable convertible preferred stock, the remaining assets available for distribution would be distributed among the holders of redeemable convertible preferred stock and Aerpio common stock based on the pro rata number of shares held by each holder, treating such securities as if they had been converted to Aerpio common stock immediately prior to such dissolution, liquidation, or winding-up of Aerpio.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Each share of redeemable convertible preferred stock was convertible at the option of the holder, at any time and from time to time, into fully paid and non-assessable shares of Aerpio common stock. The initial conversion ratio was one share of redeemable convertible preferred stock for one share of Aerpio’s common stock. The applicable conversion rate was subject to adjustments upon the occurrence of certain events.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20"/>
        <w:spacing w:after="0" w:line="261" w:lineRule="auto"/>
        <w:rPr>
          <w:sz w:val="20"/>
          <w:szCs w:val="20"/>
          <w:color w:val="auto"/>
        </w:rPr>
      </w:pPr>
      <w:r>
        <w:rPr>
          <w:rFonts w:ascii="Times New Roman" w:cs="Times New Roman" w:eastAsia="Times New Roman" w:hAnsi="Times New Roman"/>
          <w:sz w:val="18"/>
          <w:szCs w:val="18"/>
          <w:color w:val="auto"/>
        </w:rPr>
        <w:t>Each share of redeemable convertible preferred stock was automatically convertible into fully paid and non-assessable shares of Aerpio common stock at the then-applicable conversion ratio, as defined, upon either: (i) the closing of the sale of shares of Aerpio’s common stock to the public in an underwritten public offering at a price of $14.70 resulting in at least $40,000,000 of gross proceeds, or (ii) the date and time, or the occurrence of an event, specified by vote or written consent of the holders of more than 50% of the then outstanding shares of redeemable convertible preferred stock on an as-converted basis.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Aerpio evaluated each series of its redeemable convertible preferred stock and determined that each individual series is considered an equity host under ASC Topic 815, Derivatives and Hedging. In making this determination, Aerpio’s analysis followed the whole instrument approach, which compares an individual feature against the entire redeemable convertible preferred stock instrument that includes that feature. Aerpio’s analysis was based on a consideration of the economic characteristics and risks of each series of redeemable convertible preferred stock. More specifically, Aerpio evaluated all the stated and implied substantive terms and features, including: (i) whether the redeemable convertible preferred stock included redemption features, (ii) how and when any redemption features could be exercised, (iii) whether the holders of redeemable convertible preferred stock were entitled to dividends, (iv) the voting rights of the redeemable convertible preferred stock, and (v) the existence and nature of any conversion rights. Aerpio concluded that as the redeemable convertible preferred stock represents an equity host, the conversion feature included in all series of redeemable convertible preferred stock is clearly and closely related to the associated host instrument. Accordingly, the conversion feature of all series of redeemable convertible preferred stock was not considered an embedded derivative that required bifurcation.</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Aerpio accounted for potentially beneficial conversion features under ASC Topic 470-20, Debt with Conversion and Other Options. At the time of each of the issuances of redeemable convertible preferred stock, Aerpio’s common stock into which each series of the redeemable convertible preferred stock was convertible had an estimated fair value less than the effective conversion prices of the redeemable convertible preferred stock. Therefore, there was no beneficial conversion element on the respective commitment dates.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2016, in connection with the Convertible Note Financing described more fully in Note 5, Aerpio’s Articles of Incorporation were amended such that any preferred stockholder that did not participate in the Convertible Note Financing would have their respective shares of redeemable convertible preferred stock automatically converted into Aerpio common stock using a 3-to-1 conversion ratio and such preferred stockholders would lose the right to representation on Aerpio’s Board of Directors and other preferred rights. The amendment did not represent an increase in value to the preferred stockholders and was treated as a modification to the redeemable convertible preferred stock for accounting purposes. Certain shares of redeemable convertible preferred stock held by preferred stockholders that elected to not participate in the Convertible Note Financing were converted to shares in Aerpio’s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redeemable convertible preferred stock was redeemable on or after July 31, 2017, upon a request by more than 50% of the holders of redeemable convertible preferred stock then outstanding, payable in three annual installments commencing not more than 60 days following receipt by notice at a price equal to the greater of (i) the applicable original purchase price and dividends accrued but unpaid (Applicable Accrued Value), which is equal to its liquidation preference, or (ii) the redeemable convertible preferred stock fair value per share. Due to this redemption option, the redeemable convertible preferred stock was recorded in the mezzanine equity and subject to subsequent measurement under the guidance provided under ASC 480-10-S99. In accordance with that guidance, Aerpio elected to recognize changes in redemption value immediately as they occur through adjustments to the carrying amounts of the instruments at the end of each reporting period. As of December 31, 2016, the redemption values of all series of redeemable convertible preferred stock were equal to their respective Applicable Accrued Value. The fair values of redeemable convertible preferred stock were based upon a hybrid of the probability-weighted expected returns method and an option pricing model (OPM), which is a nonrecurring Level 3 fair value measurement within the fair value hierarchy. Under this hybrid model, share value is based on the probability weighted value of Aerpio in a potential public trading scenario, in which the redeemable convertible preferred stock converted to Aerpio common stock, and a second scenario in which equity value is allocated using the OPM. For the public trading scenario, Aerpio used the guideline public company method under the market approach.</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Merger (Note 1), the Company assumed each option to purchase Aerpio common stock that remained outstanding under the Aerpio Therapeutics, Inc. 2011 Equity Incentive Plan (the “Plan”), whether vested or unvested, and converted it into an option to purchase such number of shares of the Company’s common stock equal to the number of shares of Aerpio common stock subject to the option immediately prior to the Merger, divided by the applicable Merger exchange rate of 2.3336572, with any fraction rounded down to the nearest whole number. The exercise price per share of each assumed option is equal to the exercise price of the Aerpio option prior to the assumption, multiplied by the applicable Merger exchange rate of 2.3336572, rounded up to the nearest whole cent. The terms of the 2011 Plan continue to govern the options covering an aggregate of 898,692 shares of the Company’s common stock at June 30, 2017 and December 31, 2016, subject to awards assumed by the Company, except that all references in the 2011 Plan to Aerpio, will now be the Company. In addition, each unvested share of Aerpio restricted common stock issued under the 2011 Plan that was outstanding immediately prior to the effective time of the Merger, was converted by virtue of the Merger into restricted common stock of the Company, equal to the number of shares of Aerpio common stock subject to the unvested shares of Aerpio restricted common stock immediately prior to the Merger divided by the applicable Merger exchange rate of 2.3336572, with any fraction rounded down to the nearest whole number.</w:t>
      </w:r>
    </w:p>
    <w:p>
      <w:pPr>
        <w:spacing w:after="0" w:line="19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No awards were granted under the 2017 Plan as of June 30, 2017.</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options granted generally vest over 48 months. For employees with less than one year’s service, options vest in installments of 25% at the one-year anniversary and thereafter in 36 equal monthly installments beginning in the 13th month after the initial Vesting Commencement Date (as defined), subject to the employee’s continuous service with the Company. Options granted to other employees vest in 48 equal monthly installments after the initial Vesting Commencement Date, subject to the employee’s continuous service with the Company. The options generally expire ten years after the date of grant. The fair value of the options at the date of grant is recognized as an expense over the requisite service period. No option awards were granted in the six months ended June 30, 2017 and one option award was granted for 50,228 shares in the six months ended June 30,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six-months ended June 30, 2017:</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(25,729)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Expired/cancelled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June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2,963,449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to vest, June 30,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June 30, 2017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667,229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80"/>
        <w:spacing w:after="0" w:line="313" w:lineRule="auto"/>
        <w:rPr>
          <w:sz w:val="20"/>
          <w:szCs w:val="20"/>
          <w:color w:val="auto"/>
        </w:rPr>
      </w:pPr>
      <w:r>
        <w:rPr>
          <w:rFonts w:ascii="Times New Roman" w:cs="Times New Roman" w:eastAsia="Times New Roman" w:hAnsi="Times New Roman"/>
          <w:sz w:val="18"/>
          <w:szCs w:val="18"/>
          <w:color w:val="auto"/>
        </w:rPr>
        <w:t>Aggregate intrinsic value represents the estimated fair value of the Company’s common stock at the end of the period in excess of the weighted average exercise price multiplied by the number of options outstanding or exercisable.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for stock options was $38,954 and $42,225 for the three months ended June 30, 2017 and 2016, respectively and $120,075 and</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$85,041 for the six months ended June 30, 2017 and 2016 respectively. As of June 30, 2017, there was $226,405 of unrecognized compensation cost related to stock options, which is expected to be recognized over a weighted average period of 2.0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Shares of restricted stock generally have similar vesting terms as stock options. A summary of the Company’s restricted stock activity and related information during the six months ended June 30, 2017 is as follows: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January 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241,096</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(67,126)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June 30,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for restricted stock of $72,570 and $77,325 for the three months ended June 30, 2017 and 2016, respectively, and $146,834 and 159,724 for the six months ended June 30, 2017 and 2016 respectively. As of June 30, 2017, there was $288,016 of unrecognized compensation cost related to these restricted stock grants, which is expected to be recognized over a weighted average period of 1.2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recognized the following compensation cost related to employee and non-employee stock-based compensation activity:</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33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FF0FC"/>
            </w:tcBorders>
          </w:tcPr>
          <w:p>
            <w:pPr>
              <w:spacing w:after="0"/>
              <w:rPr>
                <w:sz w:val="15"/>
                <w:szCs w:val="15"/>
                <w:color w:val="auto"/>
              </w:rPr>
            </w:pP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188,335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156,677</w:t>
            </w:r>
          </w:p>
        </w:tc>
        <w:tc>
          <w:tcPr>
            <w:tcW w:w="60" w:type="dxa"/>
            <w:vAlign w:val="bottom"/>
            <w:shd w:val="clear" w:color="auto" w:fill="CFF0FC"/>
          </w:tcPr>
          <w:p>
            <w:pPr>
              <w:spacing w:after="0"/>
              <w:rPr>
                <w:sz w:val="19"/>
                <w:szCs w:val="19"/>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88,088</w:t>
            </w:r>
          </w:p>
        </w:tc>
        <w:tc>
          <w:tcPr>
            <w:tcW w:w="6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111,524</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266,909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244,765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for stock-based awards. Option pricing models require the input of various subjective assumptions, including the option’s expected life, expected dividend yield, price volatility and risk free interest rate of the underlying stock. Accordingly, the weighted-average fair value of the options granted during the three and six months ended June 30, 2016 was $1.22. The calculation was based on the following assumptions.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20" w:type="dxa"/>
            <w:vAlign w:val="bottom"/>
          </w:tcPr>
          <w:p>
            <w:pPr>
              <w:spacing w:after="0"/>
              <w:rPr>
                <w:sz w:val="15"/>
                <w:szCs w:val="15"/>
                <w:color w:val="auto"/>
              </w:rPr>
            </w:pPr>
          </w:p>
        </w:tc>
        <w:tc>
          <w:tcPr>
            <w:tcW w:w="3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6.00</w:t>
            </w:r>
          </w:p>
        </w:tc>
        <w:tc>
          <w:tcPr>
            <w:tcW w:w="30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6.00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1.39%</w:t>
            </w:r>
          </w:p>
        </w:tc>
        <w:tc>
          <w:tcPr>
            <w:tcW w:w="30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78.00%</w:t>
            </w:r>
          </w:p>
        </w:tc>
        <w:tc>
          <w:tcPr>
            <w:tcW w:w="300" w:type="dxa"/>
            <w:vAlign w:val="bottom"/>
            <w:shd w:val="clear" w:color="auto" w:fill="CFF0FC"/>
          </w:tcPr>
          <w:p>
            <w:pPr>
              <w:spacing w:after="0"/>
              <w:rPr>
                <w:sz w:val="19"/>
                <w:szCs w:val="19"/>
                <w:color w:val="auto"/>
              </w:rPr>
            </w:pP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78.00%</w:t>
            </w:r>
          </w:p>
        </w:tc>
        <w:tc>
          <w:tcPr>
            <w:tcW w:w="100" w:type="dxa"/>
            <w:vAlign w:val="bottom"/>
            <w:shd w:val="clear" w:color="auto" w:fill="CFF0FC"/>
          </w:tcPr>
          <w:p>
            <w:pPr>
              <w:spacing w:after="0"/>
              <w:rPr>
                <w:sz w:val="19"/>
                <w:szCs w:val="19"/>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0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did not record a current or deferred income tax expense of benefit for the six months ended June 30, 2017 and 2016, due to the Company’s net losses and increases in its deferred tax asset valuation allowance.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periods presented:</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(5,520,307)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(4,385,262)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(10,516,010)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(8,579,961)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preferred stock</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preferred stock to redemption value</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(1,028,121)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(943,297)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(2,043,492)</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5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(5,520,307</w:t>
            </w:r>
          </w:p>
        </w:tc>
        <w:tc>
          <w:tcPr>
            <w:tcW w:w="180" w:type="dxa"/>
            <w:vAlign w:val="bottom"/>
            <w:tcBorders>
              <w:bottom w:val="single" w:sz="8" w:color="CFF0FC"/>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(5,189,159</w:t>
            </w:r>
          </w:p>
        </w:tc>
        <w:tc>
          <w:tcPr>
            <w:tcW w:w="160" w:type="dxa"/>
            <w:vAlign w:val="bottom"/>
            <w:tcBorders>
              <w:bottom w:val="single" w:sz="8" w:color="CFF0FC"/>
            </w:tcBorders>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(11,459,307</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(10,399,229</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40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7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used in</w:t>
            </w:r>
          </w:p>
        </w:tc>
        <w:tc>
          <w:tcPr>
            <w:tcW w:w="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attributable to</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26,895,164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16,313,324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weighted average common stock equivalents were excluded from the calculation of diluted net loss per share for the periods presented because including them would have had an anti-dilutive effect: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5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55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(if converted)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14,141,112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Notes and accrued interest (if converted)</w:t>
            </w:r>
          </w:p>
        </w:tc>
        <w:tc>
          <w:tcPr>
            <w:tcW w:w="15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944,048</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898,962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927,592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344,574</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317,562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Company contracts with various organizations to conduct research and development activities. In addition, the Company is a party to a lease covering 7,580 square feet of space in Cincinnati, Ohio that expires in June 2018. Total rent expense for all operating leases was $51,153 and $59,924 for the three months ended June 30, 2017 and 2016, and $102,442 and $108,104 the six months ended June 30, 2017 and 2016 respectively. The lease agreement contains free rent, escalating rent payments and reimbursement for tenant improvements that amounted to $0 and $46,390 in the three and six months ended June 30, 2016, respectively. Rent expense is recorded on the straight-line basis over the initial term with the differences between rent expense and rent payments recorded as deferred rent. As of June 30, 2017, the Company had deferred rent of $46,372, which is included in accrued expenses in the accompanying condensed consolidated balance sheet. As of June 30, 2017, non-cancelable future minimum lease payments under the existing operating lease were $105,735. As of June 30, 2017, future payments related to operating leases activities are presented in the table below.</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rPr>
              <w:t>2019 and</w:t>
            </w: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jc w:val="center"/>
              <w:ind w:right="57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Stock Purchase Plan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2017, the Board of Directors adopted and the stockholders approved, the Employee Stock Purchase Plan (the “ESPP”), that became effective in April 2017. The ESPP provides for the issuance of up to 300,000 shares of the Company’s common stock for the purchases made under the ESPP. The ESPP also provides that the number of shares reserved for issuance thereunder will be increased annually on the first day of each year beginning in 2018 by one percent (1%) of the shares of the Company’s common stock outstanding on the last day of the immediately preceding year or such smaller increase as determined by the Company’s Board of Directors. The Board of Directors has not yet determined the timing for the offering periods under the ESPP.</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Aerpio Pharmaceuticals, Inc. should be read in conjunction with the financial statements and the notes to those statements included in this Quarterly Report on Form 10Q for the period ended June 30, 2017. Some of the information contained in this discussion and analysis including information with respect to our plans and strategy for our business, includes forward-looking statements that involve risk, uncertainties and assumptions.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advancing first-in-class treatments for ocular disease. Our lead product candidate, AKB-9778, a small molecule activator of the tie-2 pathway, is being developed for the treatment of diabetic retinopathy (“DR”). Tie-2 signaling is essential for regulating blood vessel development and the stability of mature vessels. We completed a Phase 2a clinical trial in diabetic macular edema (“DME”), a swelling of the retina that is a common cause of vision loss in patients with DR. In June 2017, we initiated a twelve month, double blind Phase 2b clinical trial, which we refer to as TIME-2b, in patients with DR who have not developed more serious complications such as DME or proliferative diabetic retinopathy.</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TIME-2b study is a double-masked, placebo-controlled multi-center trial that will enroll 150 patients randomized 1:1:1 to receive either AKB-9778 15 mg subcutaneously once daily, AKB-9778 15 mg twice daily or placebo for a 12-month period. The primary endpoint of the TIME-2b study is the percentage of patients who improve by at least 2 steps in diabetic retinopathy Severity Score (DRSS) in the study eye.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recently completed a single-center study of the safety and efficacy of AKB-9778 with concomitant PRN anti-vascular endothelial growth factor (“anti-VEGF”) therapy in patients with retinal vein occlusion and a history of persistent macular edema on anti-VEGF monotherapy. We believe the results from this study suggest that activation of Tie2 by AKB-9778 may be beneficial in patients with chronic retinal vein occlusion. However, these results are considered exploratory, given that this was an open-label, non-controlled study without a placebo or active control arm.</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we have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We completed a Phase 1a clinical trial in healthy volunteers for AKB-4924 and APR-1536 is currently in preclinical development. Further development on the pipeline programs is subject to receiving additional funding, which we may seek through collaborations with potential strategic and commercial partners.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business planning, raising capital, acquiring and developing our technology, identifying potential product candidates, and undertaking preclinical and clinical studies. We have not generated any revenues to date, nor is there any assurance of future revenues. Our product candidates are subject to long development cycles, and there is no assurance we will be able to successfully develop, obtain regulatory approval for, or market our product candidates. As of June 30, 2017, we had an accumulated deficit of $97.6 million and anticipate incurring additional losses for the next several years.</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primary source of liquidity to date has been through the private placement offering of our common stock (the “Offering”) in March 2017 and the historical sales of redeemable convertible preferred stock, common stock and proceeds from convertible debt. The aggregate net proceeds from the Offering in March 2017 were $37.2 million. In 2016, we raised a total of $12.5 million through the issuance of secured convertible notes. In 2017, we raised a total of $0.3 million through the issuance of secured convertible notes. In 2014, we raised a total of $22.0 million ($21.8 million net of offering costs) through the issuance of redeemable convertible preferred stock. Based on our current plans, we expect that our existing cash and cash equivalents, will enable us to conduct our planned operations into the first quarter of fiscal 2019.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financial position.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2" w:name="page23"/>
    <w:bookmarkEnd w:id="22"/>
    <w:p>
      <w:pPr>
        <w:ind w:right="7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54"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primarily in connection with our ongoing TIME-2b clinical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to support our clinical development program;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 The accompanying financial statements have been prepared assuming our company will continue as a going concern, which contemplates the realization of assets and payments of liabilities in the ordinary course of business. We had cash and cash equivalents and short-term investments of $28.9 million at June 30, 2017. We believe our existing cash and cash equivalents and short-term investments, will be sufficient to fund currently planned operations into the first quarter of fiscal year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unaudited interim financial statements of the Company for the three months ended June 30, 2017 and 2016, and the six months ended June 30, 2017 and 2016 contained herein, include a summary of our significant accounting policies and should be read in conjunction with the discussion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on the OTCQB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were approved for trading and began trading on August 8, 2017 on the OTCQB marketplace under the symbol “ARPO.”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15, 2017, our wholly-owned subsidiary, Aerpio Acquisition Corp., a corporation formed in the State of Delaware, or the Acquisition Sub, merged with and into Aerpio Therapeutics, Inc., (“Aerpio”) a corporation incorporated on November 17, 2011 under the laws of the State of Delaware. Pursuant to this transaction, or the Merger, Aerpio was the surviving corporation and became our wholly-owned subsidiary. We changed our name from Zeta Acquisition Corp II to Aerpio Pharmaceuticals, Inc. All the outstanding stock of Aerpio was converted into shares of our common stock.</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the legal existence of Acquisition Sub ceased and each 2.3336572 shares of Aerpio common and preferred stock that was issued and outstanding immediately prior to the effective time of the Merger, including share based awards, whether vested or unvested issued under the Aerpio Therapeutics, Inc. 2011 Equity Incentive Plan (the “2011 Plan”), was automatically exchanged for one share of our common stock. In addition, immediately prior to the Merger, the outstanding amounts under certain senior secured convertible notes issued by Aerpio to its pre-Merger noteholders were converted into Aerpio common stock, which were converted in the Merger into shares of our common stock at the same ratio. We issued an aggregate of 18,000,000 shares of our common stock upon such exchange of the outstanding shares of Aerpio common stock. In addition, at the effective time of the Merger, we assumed Aerpio’s 2011 Equity Incentive Plan. At the effective time of the Merger, we assumed the outstanding options under the 2011 Plan and converted them into options to purchase 927,592 shares of our common stock. As a result of the Merger, we acquired the business of Aerpio and will continue the existing business operations of Aerpio as a public reporting company under the name Aerpio Pharmaceuticals, Inc. Immediately after the Merger, Aerpio was converted into a Delaware limited liability company (the “Conversion”).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financial reporting purposes. We are the legal acquirer of Aerpio in the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the “reverse merger” or “reverse acquisition” accounting treatment, the unaudited condensed consolidated interim financial statements for the period ended June 30, 2017 include the accounts of the Company and its wholly owned subsidiary, Aerpio Therapeutics, LLC. The comparative historical financial statements for periods ended prior to the date of the Merger are the historical financial statements of Aerpio.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unaudited condensed consolidated statements of financial condition and results of operations presented herein. The following discussion and analysis are based on the Company’s unaudited condensed consolidated financial statements contained in this Quarterly Report on Form 10-Q, which we have prepared in accordance with United States generally accepted accounting principles. You should read the discussion and analysis together with such condensed consolidated financial statements and the related notes thereto.</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Cancellation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Following the Merger and Conversion, and immediately prior to the closing of the Offering, an aggregate of 4,000,000 of the 5,000,000 shares of our common stock that were held by the pre-Merger stockholders of Zeta Acquisition Corp. II were surrendered for cancellation (the “Share Cancellation”).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the Merger, the Conversion and the Share Cancellation, we sold to accredited investors approximately $40.2 million of our shares of common stock, or 8,049,555 shares, at a price of $5.00 per share, (net proceeds of $37.2 million after deducting placement agent fees and expenses of the offering). In connection with the Offering, we issued warrants to purchase 317,562 shares of our common stock at $5.00 per share to the placement agents for the Offering. The warrants are exercisable for three years. The Offering closed on March 15,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compensation and related costs for personnel, including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employee benefits and travel. These costs also consist of third-party service providers for our potential product development activities, third-party consulting services, laboratory supplies, research materials, medical equipment, computer equipment, and related depreciation and amortization. We expense research and development expenses as incurred. As we continue to invest in basic research and clinical development of our product candidates, we expect research and development expenses to increase in absolute dollars.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consist primarily of compensation and related costs for personnel, including stock-based compensation, employee benefits and travel, for our finance, human resources and other administrative personnel. In addition, general and administrative expenses include third-party consulting, legal, patent, audit, accounting services, and facilities costs. We expect general and administrative expenses to increase in absolute dollars following the consummation of the Merger due to additional legal, accounting, insurance, investor relations and other costs associated with being a public company, as well as other costs associated with growing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received on our cash and cash equivalents. Interest expense consists primarily of interest and amortization of debt issuance costs related to our secured convertible promissory notes issued in 2016 and 2017. The secured convertible notes have converted into shares of our common stock in connection with the Merger and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income is recognized as earned based on contract work performed.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4"/>
                <w:szCs w:val="14"/>
                <w:color w:val="auto"/>
              </w:rPr>
            </w:pPr>
          </w:p>
        </w:tc>
        <w:tc>
          <w:tcPr>
            <w:tcW w:w="21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3,169,115</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$ 2,903,564</w:t>
            </w:r>
          </w:p>
        </w:tc>
        <w:tc>
          <w:tcPr>
            <w:tcW w:w="10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5,424,699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$ 5,893,122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2,414,747</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1,473,869</w:t>
            </w:r>
          </w:p>
        </w:tc>
        <w:tc>
          <w:tcPr>
            <w:tcW w:w="100" w:type="dxa"/>
            <w:vAlign w:val="bottom"/>
            <w:shd w:val="clear" w:color="auto" w:fill="CFF0FC"/>
          </w:tcPr>
          <w:p>
            <w:pPr>
              <w:spacing w:after="0"/>
              <w:rPr>
                <w:sz w:val="19"/>
                <w:szCs w:val="19"/>
                <w:color w:val="auto"/>
              </w:rPr>
            </w:pPr>
          </w:p>
        </w:tc>
        <w:tc>
          <w:tcPr>
            <w:tcW w:w="10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4,918,748</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2,689,754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5,583,862</w:t>
            </w:r>
          </w:p>
        </w:tc>
        <w:tc>
          <w:tcPr>
            <w:tcW w:w="18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4,377,433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10,343,447</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8,582,876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(5,583,862)</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(4,377,433)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(10,343,447)</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(8,582,876)</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80,954</w:t>
            </w:r>
          </w:p>
        </w:tc>
        <w:tc>
          <w:tcPr>
            <w:tcW w:w="10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52,316</w:t>
            </w: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(88,783)</w:t>
            </w:r>
          </w:p>
        </w:tc>
        <w:tc>
          <w:tcPr>
            <w:tcW w:w="126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(219,459)</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(87,706)</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63,555</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(172,563)</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(5,520,307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(4,385,262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 (10,516,010</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(8,579,961</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2017 and 2016</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6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3,169,115</w:t>
            </w: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2,903,564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2,414,747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1,473,869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5,583,862</w:t>
            </w:r>
          </w:p>
        </w:tc>
        <w:tc>
          <w:tcPr>
            <w:tcW w:w="200" w:type="dxa"/>
            <w:vAlign w:val="bottom"/>
            <w:gridSpan w:val="2"/>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4,377,433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2017 increased $0.3 million, or 9.1%, compared to the three months ended June 30, 2016. This increase was the result of increased expenses associated with our lead program AKB-9778 as we prepared to initiate the double-blind Phase 2b DR clinical trial, offset by a decrease in spending on our pipeline programs – AKP4924 and ARP 1536.</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$0.8 million increase in spending in our lead program, AKB-9778, for the three months ended June 30, 2017 from the corresponding period in 2016 is primarily attributed to expenses associated with initiating the Phase 2 DR clinical trial including the cost of drug product of approximately $2.0 million offset by a decrease in pre-clinical and DME Phase 2a study expenses incurred in the prior period of $1.2 million.</w:t>
      </w:r>
    </w:p>
    <w:p>
      <w:pPr>
        <w:spacing w:after="0" w:line="17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$0.5 million decrease in spending on our pipeline programs, for the three months ended June 30, 2017 from the corresponding period in 2016 is primarily due to our decision to focus on the lead program while pursuing alternative strategies to fund further development activities for one or both the pipeline programs. During the 2016 period, healthy volunteers were enrolled in the AKB-4924 Phase 1a and ARP-1536 cell line development expenses were incurred.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June 30, 2017, increased $0.9 million, or 63.8%, compared to the three months ended June 30, 2016. This increase was primarily attributable to personnel and related expenses, including costs to recruit additional resources as well as professional services, including legal, accounting, insurance and other professional service expenses associated with the Merger, related transactions and operating as a public reporting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73"/>
        </w:trPr>
        <w:tc>
          <w:tcPr>
            <w:tcW w:w="392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7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00" w:type="dxa"/>
            <w:vAlign w:val="bottom"/>
          </w:tcPr>
          <w:p>
            <w:pPr>
              <w:spacing w:after="0"/>
              <w:rPr>
                <w:sz w:val="19"/>
                <w:szCs w:val="19"/>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80,954</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(88,783)</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8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Interest income in the three months ended June 30, 2017 reflects interest earned during the period on cash balances invested in short term money market instruments. The net proceeds received in the Offering on March 15, 2017, less cash used in operations during the quarter, were available for investment. The interest expense in the corresponding three-month period in 2016, was primarily related to the senior secured convertible notes issued in April 2016, offset in part by a small amount of interest income earned on invested cash balances. We completed three note financings in fiscal 2016 totaling an aggregate principal amount of approximately $12.5 million and one note financing in the first quarter of fiscal 2017, totaling an aggregate principal amount of approximately $0.3 million. The financings were funded in four tranches’, beginning with one in April 2016 for $4.5 million, one in July 2016 for $4.5 million, one in October 2016 for $3.5 million and one in January 2017 for $0.3 million. The notes accrued interest at the rate of eight percent (8%) per annum, compounded annually. The principal and accrued interest on the secured convertible notes was converted into common stock on March 15, 2017, in connection with the Merger.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2017 and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54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FF0FC"/>
            </w:tcBorders>
          </w:tcPr>
          <w:p>
            <w:pPr>
              <w:spacing w:after="0"/>
              <w:rPr>
                <w:sz w:val="15"/>
                <w:szCs w:val="15"/>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5,424,699</w:t>
            </w:r>
          </w:p>
        </w:tc>
        <w:tc>
          <w:tcPr>
            <w:tcW w:w="180" w:type="dxa"/>
            <w:vAlign w:val="bottom"/>
          </w:tcPr>
          <w:p>
            <w:pPr>
              <w:spacing w:after="0"/>
              <w:rPr>
                <w:sz w:val="19"/>
                <w:szCs w:val="19"/>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5,893,122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4,918,748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2,689,754</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10,343,447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8,582,876</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2017 decreased $0.5 million, or 7.9%, compared to the six months ended June 30, 2016. This decrease resulted from decreased expenses associated with our pipeline programs – AKB 4924 and ARP 1536, offset by an increase in spending on our lead program AKB-9778, as we prepared to initiate the double-blind Phase 2b DR clinical trial in June 2017.</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$0.7 million increase in spending in our lead program, AKB-9778, for the six months ended June 30, 2017 from the corresponding period in 2016 is primarily attributed to expenses associated with initiating the Phase 2 DR clinical trial including the cost of drug product of approximately $2.9 million offset by a decrease in pre-clinical and Phase 2a expenses incurred in the prior period of $2.2 million.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$1.2 million decrease in spending on our pipeline programs, for the six months ended June 30, 2017 from the corresponding period in 2016 is primarily due to our decision to focus on the lead program while pursuing alternative strategies to fund further development activities for one or both the pipeline programs. During the 2016 period, healthy volunteers were enrolled in the AKB-4924 Phase 1a and ARP-1536 cell line development expenses were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 the six months ended June 30, 2017, increased $2.2 million, or 83.7%, compared to the six months ended June 30, 2016. This increase was primarily attributable to personnel and related expenses, including costs to recruit additional resources as well as professional services including, legal, accounting, insurance and other professional service expenses associated with the Merger, related transactions and operating as a public reporting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54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(219,459)</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(87,706)</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Interest expense in the six months ended June 30, 2017, was primarily related to the senior secured convertible notes issued in 2016 and 2017, offset by interest income earned during the period on cash balances invested in short term money market instruments. The net proceeds received in the Offering on March 15, 2017, less cash used in operations during the period, were available for investment. The interest expense in the corresponding six-month period in 2016, was primarily related to the senior secured convertible notes issued in April 2016, offset in part by a small amount of interest income earned on invested cash balances. We completed three note financings in fiscal 2016 totaling an aggregate principal amount of approximately $12.5 million and one note financing in the first quarter of fiscal 2017, totaling an aggregate principal amount of approximately $0.3 million. The convertible note financings were funded in four tranches’, beginning with one in April 2016 for $4.5 million, one in July 2016 for $4.5 million, one in October 2016 for $3.5 million and one in January 2017 for $0.3 million. The notes had interest at the rate of eight percent (8%) per annum, compounded annually. The principal and accrued interest on the secured convertible notes was converted into common stock on March 15, 2017, in connection with the Merger.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represents amounts received from Akebia for services rendered under the shared services agreements. The agreements expired in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negative cash flows from operations. For the three months ended June 30, 2017 and 2016, we had net losses of $5.5 million and $4.4 million, respectively. At June 30, 2017 and December 31, 2016, we had an accumulated deficit of $97.7 million and $86.2 million, respectively.</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At June 30, 2017, we had cash and cash equivalents and short-term investments of $28.9 million. To date, we have financed our operations principally through the Offering, private placements of our redeemable convertible preferred stock, common stock and issuances of secured convertible promissory notes. Based on our current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expect that our existing cash and cash equivalents, will enable us to conduct our planned operations into the first quarter of fiscal 2019.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7" w:name="page28"/>
    <w:bookmarkEnd w:id="27"/>
    <w:p>
      <w:pPr>
        <w:ind w:right="20"/>
        <w:spacing w:after="0" w:line="255" w:lineRule="auto"/>
        <w:rPr>
          <w:sz w:val="20"/>
          <w:szCs w:val="20"/>
          <w:color w:val="auto"/>
        </w:rPr>
      </w:pPr>
      <w:r>
        <w:rPr>
          <w:rFonts w:ascii="Times New Roman" w:cs="Times New Roman" w:eastAsia="Times New Roman" w:hAnsi="Times New Roman"/>
          <w:sz w:val="18"/>
          <w:szCs w:val="18"/>
          <w:color w:val="auto"/>
        </w:rPr>
        <w:t>We could potentially use our available financial resources sooner than we currently expect, and we may incur additional indebtedness to meet future financing needs.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 Our future capital requirements and the adequacy of available funds will depend on many factors, including those set forth in the section titled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3"/>
        </w:trPr>
        <w:tc>
          <w:tcPr>
            <w:tcW w:w="5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8"/>
                <w:szCs w:val="18"/>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(10,252,055)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(7,845,346)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(113,297)</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37,496,845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4,417,188</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27,238,243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(3,541,455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historically experienced negative cash outflows as we developed AKB-9778, ARP-1536 and AKB-4924. Our net cash used in operating activities primarily results from our net loss adjusted for non-cash expenses and changes in working capital components. Our primary uses of cash from operating activities are amounts due to contract research organizations for the conduct of our clinical programs and employee-related expenditures for research and development, and general and administrative activities. Our cash flows from operating activities will continue to be affected principally by increased spending to advance of our product candidates in the clinic, personnel to support those activities and other operating and general administrative activities.</w:t>
      </w:r>
    </w:p>
    <w:p>
      <w:pPr>
        <w:spacing w:after="0" w:line="18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2017, operating activities used approximately $10.2 million in cash, primarily as a result of our net loss of $10.5 million, and approximately $0.3 million from changes in working capital offset by approximately $0.6 million in non-cash charges that consisted of stock compensation expense, non-cash interest expense, amortization of debt issuance costs and depreciation expense. For the six months ended June 30, 2016, operating activities used approximately $7.8 million in cash, primarily as a result of our net loss of $8.6 million, offset by approximately $0.6 million net change in our working capital, and $0.4 million of non-cash charges consisting of stock compensation expense, non-cash interest expense, amortization of debt issuance costs and depreciation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both six month periods ended June 30, 2017 and 2016 was due to capital expenditures to support our operations. In addition, in the six months ended June 30, 2016, we acquired approximately $0.1 million of laboratory equipment to support internal drug development capabilities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we received net proceeds of $37.2 million from the sale of common stock at $5.00 per share, issued in the Offering and $0.3 million in January from an extension to the Aerpio senior secured convertible notes.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March 31, 2016, Aerpio entered into a senior secured convertible note financing with certain preferred stock investors of Aerpio. The secured convertible notes accrued interest at 8% per annum, compounded annually. Each of the secured convertible notes were also subject to mandatory prepayment and were also convertible into preferred stock of Aerpio upon the occurrence of certain events, as described in the Note Agreements.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received proceeds from the first tranche in April 2016 and subsequent tranches in July 2016, October 2016 and January 2017. The outstanding principal and accrued interest under the secured convertible notes was converted into shares of Aerpio common stock immediately prior to the effective time of the Merger, and exchanged for shares of our common stock pursuant to the Merger.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during the period covered by this Report from the contractual obligations and commitments as of December 31, 2016 described in our Current Report on Form 8-K filed on March 17,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and 2016, we did not have any off-balance sheet arrangements as defined by applicable SEC regulations.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generally accepted accounting principles in the United States, or GAAP. The preparation of these condensed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have the greatest potential impact on our condensed consolidated financial statements. Therefore, we consider these to be our critical accounting policies and estimates. For further information on all our significant accounting policies, see the notes to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Accrued Research and Development Expenses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balance sheet date in our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81"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Organizations (CROs) in connection with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clinical materials.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the amount actually incurred.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issue stock-based awards generally in the form of stock options and restricted stock. We account for our stock-based compensation awards in accordance with FASB ASC Topic 718, Compensation—Stock Compensation, or ASC 718. ASC 718 requires all stock-based payments to employees, including grants of employee stock options and restricted stock and modifications to existing stock awards to be recognized in the statements of operations and comprehensive loss based on their fair values. Described below is the methodology we have utilized in measuring stock-based compensation expense.</w:t>
      </w:r>
    </w:p>
    <w:p>
      <w:pPr>
        <w:spacing w:after="0" w:line="18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and non-employees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1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2017 and 2016, and the six months ended June 30, 2017 and 2016 stock-based compensation expense was approximately $0.1 million, $0.1 million, $0.3 million and $0.2 million, respectively. As of June 30, 2017, we had $0.2 million of total unrecognized stock-based compensation costs for stock options, which we expect to recognize over a weighted-average period of 2.0 years. As of June 30, 2017, we had $0.3 million of total unrecognized stock-based compensation costs for restricted stock awards, which we expect to recognize over a weighted-average period of 1.2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21"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The fair value of the common stock was determined by our board of directors, which intended all stock options granted to be exercisable at a price per share not less than the per share fair value of our common stock underlying those options on the date of grant. As a privately held company, the valuations of our common stock were determined in accordance with the guidelines outlined in the American Institute of Certified Public Accountants Practice</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Aid,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Privately-Held-Company Equity Securities Issued as Compensation</w:t>
      </w:r>
      <w:r>
        <w:rPr>
          <w:rFonts w:ascii="Times New Roman" w:cs="Times New Roman" w:eastAsia="Times New Roman" w:hAnsi="Times New Roman"/>
          <w:sz w:val="18"/>
          <w:szCs w:val="18"/>
          <w:color w:val="auto"/>
        </w:rPr>
        <w:t>, or AICPA Practice Aid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assumptions we used in the valuation model were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78"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performed by unrelated third-party specialists;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convertible preferred stock relative to those of our Common Stock;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Aerpio’s former convertible preferred stock sold to outside investors in arm’s-length transactions;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hiring of key personnel and the experience of our management;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0" w:name="page31"/>
    <w:bookmarkEnd w:id="30"/>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17"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public offering or a merger or acquisition of our business given prevailing market conditions;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illiquidity of stock-based awards involving securities in a private company;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For the valuation of our common stock at December 31, 2016, we used the hybrid method. As described in the AICPA’s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the hybrid method is a hybrid between the probability-weighted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method (PWERM) and the option-pricing method (OPM). We considered a “go-public scenario”, in which our preferred shares convert to common stock, and a second scenario, in which equity value is allocated using the OPM. We used the guideline public company method under the market approach to value our equity. We estimated our equity value based on a multiple of paid-in capital as indicated by a group of guideline public companies. The group consisted of clinical-stage drug development companies which completed initial public offerings in the six months preceding our appraisal date. In addition, for each of the guideline companies, we considered the increase, or step-up, in per share value from the preferred financing preceding the public offering to the common stock value in the public offering. We also considered the equity value of each guideline company, not including the proceeds of the public offering.</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liquidation preference at the time of a liquidity event, such as a strategic sale, merger or initial public offering. For each Black-Scholes calculation in the OPM, the option “strike price” is determined by the company’s capital structure. Additional inputs to the OPM include the estimated time to liquidity and estimated equity volatility.</w:t>
      </w:r>
    </w:p>
    <w:p>
      <w:pPr>
        <w:spacing w:after="0" w:line="18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applied a discount for lack of marketability to the values indicated for the common stock in the go-public and OPM scenarios. Our estimate of the appropriate discount for lack of marketability relied on an Asian put option calculation.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assumptions used in the hybrid method to determine the fair value of our common stock as of December 31, 2016:</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Go-Public</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OPM</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8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assumptions</w:t>
            </w: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 weighting</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to liquidity</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0.2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cost of equity</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volatility</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for lack of marketability (DLOM)</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Based on these assumptions, we estimated the fair value of our common stock on a pre-Merger basis to be $1.20 as of December 31, 2016 ($2.80 as of December 31, 2016 on an as converted basis to reflect the effect of the Merger).</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these valuations. These judgments and estimates include assumptions regarding our future performance, including the successful enrollment and completion of our clinical studies as well as the determination of the appropriate valuation methods. If we had made different assumptions, our stock-based compensation expense could have been different. The foregoing valuation methodologies are not the only methodologies available and they will not be used to value our common stock once this offering is complete. We cannot make assurances as to any particular valuation for our common stock. Accordingly, we caution you not to place undue reliance on the foregoing valuation methodologies as an indicator of future stock prices.</w:t>
      </w:r>
    </w:p>
    <w:p>
      <w:pPr>
        <w:spacing w:after="0" w:line="18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valuation of our common stock at March 31, and June 30, 2017, we used $5.00 per share; the share price paid by outside investors in our private placement closed on March 15, 2017. There were no stock awards granted or issued in the six months ended June 30, 2017.</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cash balance as of June 30, 2017 consisted of cash held in an operating account that earns nominal interest income. Therefore, there was minimal or no interest rate risk.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Management’s Evaluation of our 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22222"/>
        </w:rPr>
        <w:t>Under the supervision of and with the participation of our management, including our President and Chief Executive Officer, who is our principal executive officer, and our Chief Financial Officer, who is our principal financial officer, we conducted an evaluation of the effectiveness of our disclosure controls and procedures as of June 30, 2017,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22222"/>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 Based on the evaluation of our disclosure controls and procedures as of June 30, 2017, our chief executive officer and chief financial officer concluded that, as of such date, our disclosure controls and procedures were not effective at the reasonable assurance level due to a material weakness in internal control over financial reporting. The material weakness was initially identified at December 31, 2016 as previously disclosed and relates to the effectiveness of controls over our review and approval procedures with respect to financial information generated to prepare our consolidated financial statements, coupled with a lack of segregation of duties. We are taking steps to remediate this material weakness.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Changes in Internal Control over Financial Reporting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22222"/>
        </w:rPr>
        <w:t>During the quarter ended June 30, 2017,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information, documents or reports included or incorporated by reference in this Quarterly Report on Form 10-Q for the period ended June 30, 2017, you should carefully consider the risks described below, before making an investment decision. Our business, financial condition or results of operations could be harmed by any of these risks. As a result, you could lose some or all of your investment in our common stock. The risks and uncertainties described below are not the only ones we face. Additional risks not currently known to us or other factors not perceived by us to present significant risks to our business at this time also may impair our business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including net losses of $17.0 million and $17.1 million for the years ended December 31, 2016 and 2015, respectively, and $10.5 million for the six months ended June 30, 2017. As of June 30, 2017, we had an accumulated deficit of $97.7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clinical and preclinical development activities. To date, we have financed our operations primarily through private placements of our preferred stock. The amount of our future net losses will depend, in part, on the rate of our future expenditures, and our financial position will depend, in part, on our ability to obtain funding through equity or debt financings, strategic collaborations or grants. Our lead product candidate, AKB-9778, recently completed a proof of concept Phase 2 clinical trial in April 2015. Our product candidate AKB-4924 in our HIF-1-a stabilization program recently completed a Phase 1a trial. Our other product candidates are in preclinical development. As a result, we expect that it will be several years, if ever, before we have a product candidate ready for commercialization. Even if we obtain regulatory approval to market AKB-9778, our future revenues will depend upon the size of any markets in which AKB-9778 has received approval, our ability to achieve sufficient market acceptance, reimbursement from third-party payors and other factors.</w:t>
      </w:r>
    </w:p>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significantly if and as we:</w:t>
      </w:r>
    </w:p>
    <w:p>
      <w:pPr>
        <w:spacing w:after="0" w:line="54" w:lineRule="exact"/>
        <w:rPr>
          <w:sz w:val="20"/>
          <w:szCs w:val="20"/>
          <w:color w:val="auto"/>
        </w:rPr>
      </w:pPr>
    </w:p>
    <w:p>
      <w:pPr>
        <w:ind w:left="1040" w:right="6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Phase 2 program and prepare for a future Phase 3 development program of AKB-9778 for the treatment of diabetic retinopathy, or DR, including as we continue our ongoing TIME-2b clinical trial.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candidates manufactured for clinical trials and for commercial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for AKB-9778, AKB-4924, ARP-1536 and other product candidates that we may develop or acquire;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commercial products, product candidates and technologies;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any future in-license agreements;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June 30, 2017, our cash and cash equivalents and short-term investments were $28.9 million. We believe that we will continue to expend substantial resources for the foreseeable future developing AKB-9778 and any other product candidates that we may develop or acquire. Additionally, we may expend substantial resources to further develop AKB-4924 if we secure sufficient additional funding, likely from a strategic and commercial partner for that candidate, as well as ARP-1536 if we secure sufficient additional funding, which may be from a partner for that candidate.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40" w:right="28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results and cost of completing our Phase 2 program of AKB-9778 and our operating costs incurred as we conduct these trials and through our end of Phase 2 meeting with the FDA, and equivalent meetings with the EMA and other regulatory authorities;</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AKB-9778 advances to Phase 3 clinical trials, the scope, size, rate of progress, results and costs of initiating and completing our Phase 3 development program of AKB-9778;</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68"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that we may undertake for AKB-4924, ARP-1536 and any other product candidates that we may develop or acquire;</w:t>
      </w:r>
    </w:p>
    <w:p>
      <w:pPr>
        <w:spacing w:after="0" w:line="53"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AKB-4924 and ARP-1536 if we continue their further development upon securing sufficient additional funding and/or a strategic and commercial partner, and clinical trials of these product candidates are successful;</w:t>
      </w:r>
    </w:p>
    <w:p>
      <w:pPr>
        <w:spacing w:after="0" w:line="68"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40" w:right="7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having our product candidates manufactured for clinical trials in preparation for regulatory approval and in preparation for commercialization;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4" w:name="page35"/>
    <w:bookmarkEnd w:id="34"/>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agreements; and</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and absent any future financings or strategic partnerships, we believe that our existing cash and cash equivalents and investments will be sufficient to fund our projected operating expenses and capital expenditure requirements into the first quarter of fiscal year 2019.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AKB-4924, ARP-1536 or any other product candidates that we develop or acquire, or delay, limit, reduce or terminate our establishment of sales and marketing capabilities or other activities that may be necessary to commercialize our product candidates.</w:t>
      </w:r>
    </w:p>
    <w:p>
      <w:pPr>
        <w:spacing w:after="0" w:line="2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If we are unable to raise additional funds through equity or debt financing when needed, we may be required to delay, limit, reduce or terminate our product development or commercialization efforts for AKB-9778 and, if we secure sufficient additional funding and/or a strategic and commercial partner, to continue their development, for AKB-4924, ARP-1536 or any other product candidates that we develop or acquire, or grant rights to develop and market product candidates that we would otherwise prefer to develop and market ourselves.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three product candidates, one of which is in preclinical development. Of these product candidates, we may further develop AKB-4924 and ARP-1536 only if we secure sufficient additional funding and/or a strategic and commercial partner, to continue their clinical development. Biopharmaceutical product development is a highly speculative undertaking and involves a substantial degree of risk. Only a small fraction of biopharmaceutical development programs ultimately result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Clinical Development, Regulatory Review and Approval of Product Candidates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product candidate, AKB-9778, which is in Phase 2 clinical development. Even if we obtain favorable clinical results, we may not be able to obtain regulatory approval for, or successfully commercialize, AKB-9778.</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only one product candidate, AKB-9778, in clinical development, and our business depends almost entirely on the successful clinical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regulatory approval and commercialization of that product candidate, which may never occur. We currently have no products for sale, generate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revenues from sales of any drugs, and may never be able to develop marketable products. AKB-9778, which recently completed a proof of concept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 clinical trial, will require substantial additional clinical development, testing, manufacturing process development, and regulatory approval before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permitted to commence its commercialization. In June 2017, we announced the initiation of patient dosing in our ongoing Phase 2b clinical trial of AKB-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9778 in patients with DR. Our other product candidate, AKB-4924, recently completed a Phase 1a trial. We currently may further develop AKB-4924 only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secure sufficient additional funding, likely from a strategic and commercial partner, to continue its development. In addition, we currently may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ARP-1536 only if we secure sufficient additional funding , which may be from a strategic and commercial partner to continue its 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There can be no assurance that we will be able to secure such additional funding or a strategic or commercial partner on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terms or at all. Any failure to do so would impair our ability to advance AKB-4924 and ARP-1536, resulting in our even greater dependence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AKB-9778. None of our product candidates has advanced into a pivotal trial, and it may be years before such trial is initiated, if ever. The clinical trials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are, and the manufacturing and marketing of our product candidates will be, subject to extensive and rigorous review and regulation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numerous government authorities in the United States and in other countries where we intend to test and, if approved, market any product candidates.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regulatory approval for the commercial sale of any product candidate, we must demonstrate through extensive preclinical testing and clinical trials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any drug candidate is safe and effective and any biological product candidate is safe, pure, and potent for use in each target indication. This process 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many years. Of the large number of drugs in development in the United States, only a small percentage successfully complete the FDA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process and are commercialized. Accordingly, even if we are able to obtain the requisite capital to continue to fund our development and 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we may be unable to successfully develop or commercialize AKB-9778.</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regarding its ability to treat patients with DR, we must complete our ongoing clinical trials, Phase 3 trials, and any additional non-clinical studies or clinical trials required by the FDA. To date, we have only completed a Phase 2 clinical trial for AKB-9778 and five other early stage trials.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AKB-9778 will never obtain regulatory approval. The FDA may delay, limit or deny approval of AKB-9778 for many reasons, including, among others:</w:t>
      </w:r>
    </w:p>
    <w:p>
      <w:pPr>
        <w:spacing w:after="0" w:line="78"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AKB-9778 is safe and effective in treating patients with DR to the satisfaction of the FDA;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approve the formulation, labeling or specifications of AKB-9778;</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that we conduct additional clinical trials;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clinical trials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perform in accordance with the FDA’s good clinical practice, or GCP,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6" w:name="page37"/>
    <w:bookmarkEnd w:id="36"/>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the manufacturing processes or facilities of third-party manufacturers with which we contract; or</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or regulations of the FDA may significantly change in a manner that renders our clinical data insufficient for approval, or requiring that we amend or submit new clinical protocols.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similar reasons may cause the EMA or other regulatory authorities to delay, limit or deny approval of AKB-9778 outside the United States.</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AKB-9778. Because our business is almost entirely dependent upon AKB-9778, any such setback in our pursuit of regulatory approval would have a material adverse effect on our business and prospects.</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obtained agreement with the FDA, EMA or other regulatory authorities on the design of our Phase 3 development program.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not obtained agreement with the FDA on the design of our Phase 3 development program. We plan to hold an end of Phase 2 meeting with the FDA upon successful completion of our Phase 2 clinical program. If the FDA determines that the Phase 2 trial results do not support moving into a pivotal program, we would be required to conduct additional Phase 2 studies. Alternatively, the FDA could disagree with our proposed design of our Phase 3 development program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the Phase 3 trials meet their primary endpoints. The FDA also may require that we conduct additional clinical, nonclinical or manufacturing validation studies and submit that data before it will consider an NDA application.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we intend to follow the regulatory pathway that ranibizumab and aflibercept undertook when they were approved for DR in the presence of DME, we have not yet sought guidance for the regulatory path for AKB-9778 with the EMA or other regulatory authorities. We cannot predict what additional requirements may be imposed by these regulatory authorities or how such requirements might delay or increase costs for our planned Phase 3 development program. For example, ranibizumab and aflibercept are anti-vascular endothelial growth factor, or anti-VEGF therapies, which block vascular endothelial growth factor, used in the treatment of DR, DME, age-related macular degeneration and retinal vein occlusion, while AKB-9778 is a small molecule activator of the Tie-2 pathway, and such differences may result in a different regulatory pathway for AKB-9778, including one that may be longer, more complex or expensive than that of ranibizumab or aflibercept. Because our business is almost entirely dependent upon the successful development, regulatory approval, and commercialization of AKB-9778, any such delay or increase costs would have an adverse effect on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clinical trials of our product candidates.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competitors may have ongoing clinical trials for product candidates that could be competitive with our product candidates, and patients who would otherwise be eligible for our clinical trials may instead enroll in clinical trials of our competitors’ product candidates. For example, while we have initiated patient dosing in our TIME-2b clinical trial, there is no guarantee that we can successfully enroll patients in a timely manner.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54"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 and clinicians’ and patients’ perceptions as to the potential advantages of AKB-9778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AKB-9778 is successful in Phase 2 development, we currently expect to conduct our Phase 3 clinical trial of AKB-9778 that may include trial sites outside of the United States, including Japan and the European Union, and seek regulatory approval for AKB-9778 for the treatment of patients with DR in major markets in addition to the United States, including the European Union. Our ability to successfully initiate, enroll and complete a clinical trial in any foreign country, should we attempt to do so, is subject to numerous risks unique to conducting business in international markets, including:</w:t>
      </w:r>
    </w:p>
    <w:p>
      <w:pPr>
        <w:spacing w:after="0" w:line="72"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qualified CROs and physicians;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local standards for the conduct of clinical trials;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fail to successfully meet requirements for the conduct of clinical trials outside of the United States, we may be delayed in obtaining, or be unable to obtain, regulatory approval for AKB-9778 in countries outside of the United States.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and expensive process with an uncertain outcome, and positive results from Phase 1 and Phase 2 clinical trials of AKB-9778 are not necessarily predictive of the results of our completed and any future clinical trials of AKB-9778. If we cannot replicate the positive results from our Phase 1 and Phase 2 clinical trials of AKB-9778 in our ongoing and subsequent clinical trials, we may be unable to successfully develop, obtain regulatory approval for and commercialize AKB-9778.</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our early encouraging preclinical and clinical results for AKB-9778 do not ensure that the results of our ongoing clinical trials, including TIME-2b, or any future clinical trials will demonstrate similar results. Our planned Phase 2 and Phase 3 development program will enroll a larger number of subjects and will treat subjects for longer periods than our prior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our planned Phase 2 clinical trial for AKB-9778 and we do not know whether planned clinical trials will begin on time, need to be redesigned, enroll patients on time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aborted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or IRB, approval at each site;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trial protocols and regulatory requirements through the completion of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our product candidate for use in clinical trials.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293"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 or cGMP, requirements and GCP requirements for any clinical trials that we conduct post-approval.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9" w:name="page40"/>
    <w:bookmarkEnd w:id="39"/>
    <w:p>
      <w:pPr>
        <w:ind w:right="500"/>
        <w:spacing w:after="0" w:line="282" w:lineRule="auto"/>
        <w:rPr>
          <w:sz w:val="20"/>
          <w:szCs w:val="20"/>
          <w:color w:val="auto"/>
        </w:rPr>
      </w:pPr>
      <w:r>
        <w:rPr>
          <w:rFonts w:ascii="Times New Roman" w:cs="Times New Roman" w:eastAsia="Times New Roman" w:hAnsi="Times New Roman"/>
          <w:sz w:val="18"/>
          <w:szCs w:val="18"/>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54"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clinical trials;</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REMS program;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third party CROs and other third parties to assist in managing, monitoring and otherwise carrying out our ongoing trials of AKB-9778. We expect to continue to rely on third parties, such as CROs, clinical data management organizations, medical institutions and clinical investigators to conduct our clinical trials in the future, including our Phase 3 development program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1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some or all aspects of our product manufacturing, and these third parties may not perform satisfactorily.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1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of these third parties may terminate their engagement with us at any time. We believe we have sufficient drug product to complete our ongoing trials of AKB-9778. We have entered into an agreement for the manufacturing of the drug substance for the Phase 2 development program of AKB-9778. However, if this manufacturer cannot perform as agreed, we may be required to find replacement manufacturers. We do not currently have arrangements in place for the manufacturing of drug product for the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third party manufacturers entails risks to which we would not be subject if we manufactured the product candidates ourselves, including:</w:t>
      </w:r>
    </w:p>
    <w:p>
      <w:pPr>
        <w:spacing w:after="0" w:line="117"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 party manufacturers for all aspects of manufacturing activities, including regulatory compliance and quality assurance;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 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1" w:name="page42"/>
    <w:bookmarkEnd w:id="41"/>
    <w:p>
      <w:pPr>
        <w:ind w:right="460"/>
        <w:spacing w:after="0" w:line="261" w:lineRule="auto"/>
        <w:rPr>
          <w:sz w:val="20"/>
          <w:szCs w:val="20"/>
          <w:color w:val="auto"/>
        </w:rPr>
      </w:pPr>
      <w:r>
        <w:rPr>
          <w:rFonts w:ascii="Times New Roman" w:cs="Times New Roman" w:eastAsia="Times New Roman" w:hAnsi="Times New Roman"/>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72"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scale-up and yields;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a product might be sold;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Any delay or interruption in our supply of product candidates could have a material adverse effect on our business, financial condition, results of operations and cash flows.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approved, we plan to commercialize AKB-9778 ourselves in the United States and intend to seek one or more strategic collaborators to commercialize AKB-9778 in additional markets. In addition, we may further develop and, if approved, commercialize, AKB-4924 only if we secure sufficient additional funding, likely from a strategic and commercial partner for that candidate. With respect to ARP-1536, we may further develop and, if approved, commercialize ARP-1536 only if we secure sufficient additional funding, which may be from a strategic or commercial partner. There can be no assurance that we will be able to secure such additional funding or a strategic or commercial partner on commercially reasonable terms or at all.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19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2" w:name="page43"/>
    <w:bookmarkEnd w:id="42"/>
    <w:p>
      <w:pPr>
        <w:ind w:right="34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This will require us to be cognizant of the time from invention to filing of a patent application.</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right="100"/>
        <w:spacing w:after="0" w:line="253" w:lineRule="auto"/>
        <w:rPr>
          <w:sz w:val="20"/>
          <w:szCs w:val="20"/>
          <w:color w:val="auto"/>
        </w:rPr>
      </w:pPr>
      <w:r>
        <w:rPr>
          <w:rFonts w:ascii="Times New Roman" w:cs="Times New Roman" w:eastAsia="Times New Roman" w:hAnsi="Times New Roman"/>
          <w:sz w:val="18"/>
          <w:szCs w:val="18"/>
          <w:color w:val="auto"/>
        </w:rPr>
        <w:t>We currently have a non-exclusive license to one U.S. patent.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AKB-9778 or AKB-4924.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which could in turn significantly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5" w:name="page46"/>
    <w:bookmarkEnd w:id="45"/>
    <w:p>
      <w:pPr>
        <w:ind w:right="180"/>
        <w:spacing w:after="0" w:line="261" w:lineRule="auto"/>
        <w:rPr>
          <w:sz w:val="20"/>
          <w:szCs w:val="20"/>
          <w:color w:val="auto"/>
        </w:rPr>
      </w:pPr>
      <w:r>
        <w:rPr>
          <w:rFonts w:ascii="Times New Roman" w:cs="Times New Roman" w:eastAsia="Times New Roman" w:hAnsi="Times New Roman"/>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90"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Even if we obtain marketing approval for AKB-9778, AKB-4924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68"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as demonstrated in clinical trials;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 approved by regulatory authorities for use with the product, including any warnings that may be required on the label;</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efficacy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party payors and government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example, the current established treatments for DME are anti-VEGF medications, including bevacizumab and ranibizumab, and the current established treatments for DR in the absence of DME include laser photocoagulation. We believe that that prescribers may be resistant to prescribing AKB-9778 with or instead of anti-VEGF medications, or instead of laser photocoagulation, which is currently the standard of care for DME and DR, respectively.</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7" w:name="page48"/>
    <w:bookmarkEnd w:id="47"/>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72"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48" w:name="page49"/>
    <w:bookmarkEnd w:id="48"/>
    <w:p>
      <w:pPr>
        <w:spacing w:after="0" w:line="254"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which may adversely affect our future profitability.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29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ACA.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Congress also could consider subsequent legislation to replace elements of the ACA Act that are repealed.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8"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3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AKB-9778 is approved and launched commercially, competing drugs may include current anti-VEGF drugs, including Lucentis, Eylea and Avastin in the treatment of DME, and current therapies including laser photocoagulation in the treatment of DR. We may face competition from potential DME and DR treatments.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Roche and Regeneron, among others, compete in the market for products to treat DR and DME.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undesirable side effects or have other properties that delay or prevent their regulatory approval or limit their commercial potential.</w:t>
      </w:r>
    </w:p>
    <w:p>
      <w:pPr>
        <w:spacing w:after="0" w:line="5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AKB-9778 is currently in Phase 2 clinical development.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54"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put on hold;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could be slowed, or enrolled patients may not want to complete a clinical trial;</w:t>
      </w:r>
    </w:p>
    <w:p>
      <w:pPr>
        <w:spacing w:after="0" w:line="117"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or regulatory authorities may withdraw approvals of product candidates;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medication guide outlining the risks of such side effects for distribution to patients may be required;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products and could substantially increase commercialization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products, conduct our clinical trials and commercialize our product candidates.</w:t>
      </w:r>
    </w:p>
    <w:p>
      <w:pPr>
        <w:spacing w:after="0" w:line="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highly dependent on members of our senior management, including Joseph Gardner, our President and Chief Executive Officer, Kevin G. Peters, our Chief Scientific Officer and Stephen Pakola, our Chief Medical Officer. The loss of the services of any of these persons could impede the achievement of our research, development and commercialization objectives.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1" w:name="page52"/>
    <w:bookmarkEnd w:id="5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contract research organizations or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28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2" w:name="page53"/>
    <w:bookmarkEnd w:id="52"/>
    <w:p>
      <w:pPr>
        <w:ind w:right="60"/>
        <w:spacing w:after="0" w:line="255" w:lineRule="auto"/>
        <w:rPr>
          <w:sz w:val="20"/>
          <w:szCs w:val="20"/>
          <w:color w:val="auto"/>
        </w:rPr>
      </w:pPr>
      <w:r>
        <w:rPr>
          <w:rFonts w:ascii="Times New Roman" w:cs="Times New Roman" w:eastAsia="Times New Roman" w:hAnsi="Times New Roman"/>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68" w:lineRule="exact"/>
        <w:rPr>
          <w:sz w:val="20"/>
          <w:szCs w:val="20"/>
          <w:color w:val="auto"/>
        </w:rPr>
      </w:pPr>
    </w:p>
    <w:p>
      <w:pPr>
        <w:ind w:left="1040" w:right="260" w:hanging="519"/>
        <w:spacing w:after="0" w:line="313"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0"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taken advantage of these reduced reporting burdens. In particular, we have provided only two years of audited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ind w:right="60"/>
        <w:spacing w:after="0" w:line="254"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 billion (as may be inflation-adjusted by the SEC from time to time) or more during any fiscal year before that time, in which cases we would no longer be an emerging growth company as of the following December 31 or, if we issue more than $1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$75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20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Because we are quoted on the OTCQB instead of a national exchange or quotation system, our investors may experience significant volatility in the market price of our stock and have difficulty selling their shares.</w:t>
      </w:r>
    </w:p>
    <w:p>
      <w:pPr>
        <w:spacing w:after="0" w:line="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common stock is currently quoted on the OTC Market Group’s OTCQB Market quotation system under the ticker symbol “ARPO.” The OTCQB are regulated quotation services that display real-time quotes, last sale prices and volume limitations in over-the-counter securities. Trading in shares quoted on the OTCQB is often thin and characterized by volatility in trading prices. This volatility may be caused by a variety of factors, including the lack of readily available price quotations, the absence of consistent administrative supervision of bid and ask quotations, lower trading volume and market conditions. As a result, there may be wide fluctuations in the market price of the shares of our common stock for reasons unrelated to operating performance, and this volatility, when it occurs, may have a negative effect on the market price for our securities. Moreover, the OTCQB is not a stock exchange, and trading of securities on them is often more sporadic than the trading of securities listed on a national quotation system or stock exchange. Accordingly, our stockholders may not be able to realize a fair price from their shares when they determine to sell them or may have to hold them for a substantial period of time until the market for our common stock improves.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designation of our common stock as a “penny stock” would limit the liquidity of our common stock.</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stocks in start-up companies are among the riskiest equity investments. Broker-dealers who sell penny stocks must provide purchasers of these stocks with a standardized risk-disclosure document prepared by the SEC. The document provides information about penny stocks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Because of the penny stock rules, there may be less trading activity in penny stocks in any market that develops for our common stock in the future and stockholders are likely to have difficulty selling their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stock.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may be influenced by numerous factors, some of which are beyond our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 market for our common stock develops, its market price could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could be subject to wide fluctuations in response to many risk factors listed in this section, and others beyond our control, including:</w:t>
      </w:r>
    </w:p>
    <w:p>
      <w:pPr>
        <w:spacing w:after="0" w:line="81"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5" w:name="page56"/>
    <w:bookmarkEnd w:id="55"/>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March 15, 2017, our executive officers, directors and principal stockholders, together with their respective affiliates, owned approximately 65.9%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we did not become a reporting company by conducting an underwritten initial public offering of our common stock, and because we will not be listed on a national securities exchange, security analysts of brokerage firms may not provide coverage of our company. In addition, investment banks may be less likely to agree to underwrite secondary offerings on our behalf than they might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will have an adverse effect on our ability to develop a liquid market for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the Merger was a reverse merger, we may not be able to attract the attention of major brokerage firms.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Additional risks may exist as a result of our becoming a public reporting company through a “reverse merger.” Securities analysts of major brokerage firms may not provide coverage of our capital stock or business. Because we became a public reporting operating company through a reverse merger, there is no incentive to brokerage firms to recommend the purchase of our common stock. We cannot assure you that brokerage firms will want to provide analyst coverage of our capital stock or business in the future.</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Merger and the Offering.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stock to fund our operations may dilute your investment and reduce your equity interest.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not use them effectively.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intend to use our cash resources for continuing clinical development of AKB-9778 in patients with diabetic retinopathy, including the continuation of our ongoing trials and the preparation for and initiation of the Phase 3 trials and for working capital and other general corporate purposes. Although we currently intend to use our cash resources in such a manner, we will have broad discretion in the application of such cash resources. Our failure to apply these funds effectively could affect our ability to continue to develop and commercialize our product candidates. Pending their use, we may invest our cash resources in a manner that does not produce income or loses value.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56" w:name="page57"/>
    <w:bookmarkEnd w:id="56"/>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and our management expects to devote substantial time to public company compliance programs.</w:t>
      </w:r>
    </w:p>
    <w:p>
      <w:pPr>
        <w:spacing w:after="0" w:line="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a public company, we will incur significant legal, insurance, accounting and other expenses that we did not incur as a private company. In addition, our administrative staff will be required to perform additional tasks. We intend to invest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Merger, pursuant to which we acquired Aerpio, we are increasing our directors’ and officers’ insurance coverage, which will increase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obtain listing on a national securities exchange.</w:t>
      </w:r>
    </w:p>
    <w:p>
      <w:pPr>
        <w:spacing w:after="0" w:line="18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 has identified a material weakness in our internal control over financial reporting which will require remediation.</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issued a letter to our audit committee and management in which they identified certain matters that they consider to constitute material weaknesses in the design and operation of our internal control over financial reporting as of December 31, 2016.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the oversight of the company’s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7" w:name="page58"/>
    <w:bookmarkEnd w:id="57"/>
    <w:p>
      <w:pPr>
        <w:ind w:right="120"/>
        <w:spacing w:after="0" w:line="261" w:lineRule="auto"/>
        <w:rPr>
          <w:sz w:val="20"/>
          <w:szCs w:val="20"/>
          <w:color w:val="auto"/>
        </w:rPr>
      </w:pPr>
      <w:r>
        <w:rPr>
          <w:rFonts w:ascii="Times New Roman" w:cs="Times New Roman" w:eastAsia="Times New Roman" w:hAnsi="Times New Roman"/>
          <w:sz w:val="18"/>
          <w:szCs w:val="18"/>
          <w:color w:val="auto"/>
        </w:rPr>
        <w:t>The material weaknesses identified by our auditors relate to deficiencies with our disclosure controls and procedures, including review and approval procedures with respect to financial information generated to prepare our consolidated financial statements, coupled with a lack of segregation of duties as a result of our size and overall lack of resources in the accounting department. This resulted in not ensuring appropriate segregation of duties between incompatible functions, and made it more difficult to ensure review of financial reporting issues.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taking steps to remediate this material weakness. If we fail to remediate the material weakness, we may fail to meet our future reporting obligations, our financial statements may contain material misstatements and our operational results may be harmed. Any such failure could also adversely affect the results of the periodic management evaluations and, to the extent we are no longer an emerging growth company, the annual auditor attestation reports regarding the effectiveness of our internal control over financial reporting that will be required under Section 404 of the Sarbanes-Oxley Act of 2002. Internal control deficiencies could also cause investors to lose confidence in our reported financial information.</w:t>
      </w:r>
    </w:p>
    <w:p>
      <w:pPr>
        <w:spacing w:after="0" w:line="2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6" w:lineRule="exact"/>
        <w:rPr>
          <w:sz w:val="20"/>
          <w:szCs w:val="20"/>
          <w:color w:val="auto"/>
        </w:rPr>
      </w:pPr>
    </w:p>
    <w:p>
      <w:pPr>
        <w:ind w:left="1040" w:right="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directors then in office;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consummation of a liquidation event unless approved by a supermajority (66 2/3% and majority of the minority, if applicable) vote of the holders of our voting stock;</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on our board of directors may only be changed with a supermajority (66 2/3%)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 and by a supermajority (66 2/3%) vote of the holders of our voting stock;</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supermajority (66 2/3%)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53" w:lineRule="exact"/>
        <w:rPr>
          <w:rFonts w:ascii="Times New Roman" w:cs="Times New Roman" w:eastAsia="Times New Roman" w:hAnsi="Times New Roman"/>
          <w:sz w:val="18"/>
          <w:szCs w:val="18"/>
          <w:color w:val="auto"/>
        </w:rPr>
      </w:pPr>
    </w:p>
    <w:p>
      <w:pPr>
        <w:jc w:val="both"/>
        <w:ind w:left="1040" w:right="280" w:hanging="519"/>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 w:name="page59"/>
    <w:bookmarkEnd w:id="58"/>
    <w:p>
      <w:pPr>
        <w:ind w:right="6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and if we undergo an ownership change in connection with our private placement offering, our ability to utilize NOLs could be further limited by Section 382 of the Code.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2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April 2017, the Company issued 25,729 shares of common stock at a weighted average share price of $1.40 in connection with a stock option exercise under the Aerpio Therapeutics, Inc. 2011 Equity Incentive Plan. In addition, in April 2017, the Company, repurchased 5,246 shares of common stock, unvested under a restricted stock agreement at the time the agreement was terminated.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440" w:type="dxa"/>
            <w:vAlign w:val="bottom"/>
            <w:vMerge w:val="restart"/>
          </w:tcPr>
          <w:p>
            <w:pPr>
              <w:ind w:left="4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common stock certificate (incorporated herein by reference to Exhibit 4.2 to the Company’s Registration Statement on Form S-1</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with the Securities and Exchange Commission on April 14, 2017, File No. 333-217320).</w:t>
            </w:r>
          </w:p>
        </w:tc>
        <w:tc>
          <w:tcPr>
            <w:tcW w:w="0" w:type="dxa"/>
            <w:vAlign w:val="bottom"/>
          </w:tcPr>
          <w:p>
            <w:pPr>
              <w:spacing w:after="0"/>
              <w:rPr>
                <w:sz w:val="1"/>
                <w:szCs w:val="1"/>
                <w:color w:val="auto"/>
              </w:rPr>
            </w:pPr>
          </w:p>
        </w:tc>
      </w:tr>
      <w:tr>
        <w:trPr>
          <w:trHeight w:val="346"/>
        </w:trPr>
        <w:tc>
          <w:tcPr>
            <w:tcW w:w="9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98"/>
              </w:rPr>
              <w:t>10.8#</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Employment Agreement, dated as of March 15, 2017, between the Company and Joseph H. Gardner (incorporated herein by reference to</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10.8 to the Company’s Registration Statement on Form S-1 filed with the Securities and Exchange Commission on April 14, 2017,</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 No. 333-217320).</w:t>
            </w:r>
          </w:p>
        </w:tc>
        <w:tc>
          <w:tcPr>
            <w:tcW w:w="0" w:type="dxa"/>
            <w:vAlign w:val="bottom"/>
          </w:tcPr>
          <w:p>
            <w:pPr>
              <w:spacing w:after="0"/>
              <w:rPr>
                <w:sz w:val="1"/>
                <w:szCs w:val="1"/>
                <w:color w:val="auto"/>
              </w:rPr>
            </w:pPr>
          </w:p>
        </w:tc>
      </w:tr>
      <w:tr>
        <w:trPr>
          <w:trHeight w:val="346"/>
        </w:trPr>
        <w:tc>
          <w:tcPr>
            <w:tcW w:w="9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98"/>
              </w:rPr>
              <w:t>10.9#</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Employment Agreement, dated as of March 15, 2017, between the Company and Kevin G. Peters (incorporated herein by reference to Exhibit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 to the Company’s Registration Statement on Form S-1 filed with the Securities and Exchange Commission on April 14, 2017, File No.</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333-217320).</w:t>
            </w:r>
          </w:p>
        </w:tc>
        <w:tc>
          <w:tcPr>
            <w:tcW w:w="0" w:type="dxa"/>
            <w:vAlign w:val="bottom"/>
          </w:tcPr>
          <w:p>
            <w:pPr>
              <w:spacing w:after="0"/>
              <w:rPr>
                <w:sz w:val="1"/>
                <w:szCs w:val="1"/>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Employment Agreement, dated as of March 15, 2017, between the Company and Stephen Pakola (incorporated herein by reference to Exhibit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10.10 to the Company’s Registration Statement on Form S-1 filed with the Securities and Exchange Commission on April 14, 2017, File No.</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333-217320).</w:t>
            </w:r>
          </w:p>
        </w:tc>
        <w:tc>
          <w:tcPr>
            <w:tcW w:w="0" w:type="dxa"/>
            <w:vAlign w:val="bottom"/>
          </w:tcPr>
          <w:p>
            <w:pPr>
              <w:spacing w:after="0"/>
              <w:rPr>
                <w:sz w:val="1"/>
                <w:szCs w:val="1"/>
                <w:color w:val="auto"/>
              </w:rPr>
            </w:pPr>
          </w:p>
        </w:tc>
      </w:tr>
      <w:tr>
        <w:trPr>
          <w:trHeight w:val="346"/>
        </w:trPr>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46"/>
        </w:trPr>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346"/>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346"/>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32.2**</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right="3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5620" w:right="4760" w:hanging="5612"/>
        <w:spacing w:after="0" w:line="541" w:lineRule="auto"/>
        <w:tabs>
          <w:tab w:leader="none" w:pos="51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60" w:name="page61"/>
    <w:bookmarkEnd w:id="60"/>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Company Name</w:t>
      </w:r>
    </w:p>
    <w:p>
      <w:pPr>
        <w:spacing w:after="0" w:line="252" w:lineRule="exact"/>
        <w:rPr>
          <w:sz w:val="20"/>
          <w:szCs w:val="20"/>
          <w:color w:val="auto"/>
        </w:rPr>
      </w:pPr>
    </w:p>
    <w:p>
      <w:pPr>
        <w:spacing w:after="0"/>
        <w:tabs>
          <w:tab w:leader="none" w:pos="6800" w:val="left"/>
          <w:tab w:leader="none" w:pos="8460" w:val="left"/>
        </w:tabs>
        <w:rPr>
          <w:sz w:val="20"/>
          <w:szCs w:val="20"/>
          <w:color w:val="auto"/>
        </w:rPr>
      </w:pPr>
      <w:r>
        <w:rPr>
          <w:rFonts w:ascii="Times New Roman" w:cs="Times New Roman" w:eastAsia="Times New Roman" w:hAnsi="Times New Roman"/>
          <w:sz w:val="18"/>
          <w:szCs w:val="18"/>
          <w:color w:val="auto"/>
        </w:rPr>
        <w:t>Date: August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17145</wp:posOffset>
            </wp:positionV>
            <wp:extent cx="274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Joseph H. Gardner</w:t>
      </w:r>
    </w:p>
    <w:p>
      <w:pPr>
        <w:spacing w:after="0" w:line="3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47" w:lineRule="exact"/>
        <w:rPr>
          <w:sz w:val="20"/>
          <w:szCs w:val="20"/>
          <w:color w:val="auto"/>
        </w:rPr>
      </w:pPr>
    </w:p>
    <w:p>
      <w:pPr>
        <w:spacing w:after="0"/>
        <w:tabs>
          <w:tab w:leader="none" w:pos="6800" w:val="left"/>
          <w:tab w:leader="none" w:pos="8480" w:val="left"/>
        </w:tabs>
        <w:rPr>
          <w:sz w:val="20"/>
          <w:szCs w:val="20"/>
          <w:color w:val="auto"/>
        </w:rPr>
      </w:pPr>
      <w:r>
        <w:rPr>
          <w:rFonts w:ascii="Times New Roman" w:cs="Times New Roman" w:eastAsia="Times New Roman" w:hAnsi="Times New Roman"/>
          <w:sz w:val="18"/>
          <w:szCs w:val="18"/>
          <w:color w:val="auto"/>
        </w:rPr>
        <w:t>Date: August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17145</wp:posOffset>
            </wp:positionV>
            <wp:extent cx="2744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James B. Murphy</w:t>
      </w:r>
    </w:p>
    <w:p>
      <w:pPr>
        <w:spacing w:after="0" w:line="3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17" w:right="8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20" w:type="dxa"/>
            <w:vAlign w:val="bottom"/>
            <w:gridSpan w:val="6"/>
          </w:tcPr>
          <w:p>
            <w:pPr>
              <w:ind w:left="3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1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9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9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6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8"/>
              </w:rPr>
              <w:t>31.1*</w:t>
            </w:r>
          </w:p>
        </w:tc>
        <w:tc>
          <w:tcPr>
            <w:tcW w:w="96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Adopted Pursuant to Section 302 of the Sarbanes-Oxley Act of 2002.</w:t>
              </w:r>
            </w:hyperlink>
          </w:p>
        </w:tc>
        <w:tc>
          <w:tcPr>
            <w:tcW w:w="5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8"/>
              </w:rPr>
              <w:t>31.2*</w:t>
            </w:r>
          </w:p>
        </w:tc>
        <w:tc>
          <w:tcPr>
            <w:tcW w:w="102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Pursuant to Section 302 of the Sarbanes-Oxley Act of 2002.</w:t>
              </w:r>
            </w:hyperlink>
          </w:p>
        </w:tc>
        <w:tc>
          <w:tcPr>
            <w:tcW w:w="5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7"/>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20" w:type="dxa"/>
            <w:vAlign w:val="bottom"/>
            <w:gridSpan w:val="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ind w:right="453"/>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393"/>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393"/>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393"/>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right="30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117" w:right="2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H. Gardner,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Aerpio Pharmaceuticals,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840" w:val="left"/>
          <w:tab w:leader="none" w:pos="8500" w:val="left"/>
        </w:tabs>
        <w:rPr>
          <w:sz w:val="20"/>
          <w:szCs w:val="20"/>
          <w:color w:val="auto"/>
        </w:rPr>
      </w:pPr>
      <w:r>
        <w:rPr>
          <w:rFonts w:ascii="Times New Roman" w:cs="Times New Roman" w:eastAsia="Times New Roman" w:hAnsi="Times New Roman"/>
          <w:sz w:val="18"/>
          <w:szCs w:val="18"/>
          <w:color w:val="auto"/>
        </w:rPr>
        <w:t>Date: August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Joseph H. Gardner</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B. Murphy,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Aerpio Pharmaceuticals,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840" w:val="left"/>
          <w:tab w:leader="none" w:pos="8540" w:val="left"/>
        </w:tabs>
        <w:rPr>
          <w:sz w:val="20"/>
          <w:szCs w:val="20"/>
          <w:color w:val="auto"/>
        </w:rPr>
      </w:pPr>
      <w:r>
        <w:rPr>
          <w:rFonts w:ascii="Times New Roman" w:cs="Times New Roman" w:eastAsia="Times New Roman" w:hAnsi="Times New Roman"/>
          <w:sz w:val="18"/>
          <w:szCs w:val="18"/>
          <w:color w:val="auto"/>
        </w:rPr>
        <w:t>Date: August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James B. Murphy</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Aerpio Pharmaceuticals, Inc., (the “Company”) on Form 10-Q for the period ending June 30, 2017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840" w:val="left"/>
          <w:tab w:leader="none" w:pos="8500" w:val="left"/>
        </w:tabs>
        <w:rPr>
          <w:sz w:val="20"/>
          <w:szCs w:val="20"/>
          <w:color w:val="auto"/>
        </w:rPr>
      </w:pPr>
      <w:r>
        <w:rPr>
          <w:rFonts w:ascii="Times New Roman" w:cs="Times New Roman" w:eastAsia="Times New Roman" w:hAnsi="Times New Roman"/>
          <w:sz w:val="18"/>
          <w:szCs w:val="18"/>
          <w:color w:val="auto"/>
        </w:rPr>
        <w:t>Date: August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Joseph H. Gardner</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Aerpio Pharmaceuticals, Inc., (the “Company”) on Form 10-Q for the period ending June 30, 2017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840" w:val="left"/>
          <w:tab w:leader="none" w:pos="8540" w:val="left"/>
        </w:tabs>
        <w:rPr>
          <w:sz w:val="20"/>
          <w:szCs w:val="20"/>
          <w:color w:val="auto"/>
        </w:rPr>
      </w:pPr>
      <w:r>
        <w:rPr>
          <w:rFonts w:ascii="Times New Roman" w:cs="Times New Roman" w:eastAsia="Times New Roman" w:hAnsi="Times New Roman"/>
          <w:sz w:val="18"/>
          <w:szCs w:val="18"/>
          <w:color w:val="auto"/>
        </w:rPr>
        <w:t>Date: August 10,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James B. Murphy</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6"/>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2019-12-29T04:48:07Z</dcterms:created>
  <dcterms:modified xsi:type="dcterms:W3CDTF">2019-12-29T04:48:07Z</dcterms:modified>
</cp:coreProperties>
</file>