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9182026_080933.xml.htm"/>
      <w:bookmarkStart w:id="1" w:name="ksform4a09182026_0809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Dugan Margaret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Form 4 filed by the Reporting Person erroneously reflected an incorrect vesting schedule. Subject to the Reporting Person continuing to be a Service Provider (as defined in the Issuer's 2021 Equity Incentive Plan) through the applicable date, one hundred percent (100%) of the shares subject to the award shall vest on the one-year anniversary of the Vesting Commencement Date.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9734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774</Words>
  <Characters>4222</Characters>
  <CharactersWithSpaces>4910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